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E7603" w14:textId="77777777" w:rsidR="00F10697" w:rsidRPr="004F487E" w:rsidRDefault="00CA41C1">
      <w:pPr>
        <w:rPr>
          <w:lang w:val="fr-FR"/>
        </w:rPr>
      </w:pPr>
      <w:r w:rsidRPr="004F487E">
        <w:rPr>
          <w:lang w:val="fr-FR"/>
        </w:rPr>
        <w:t>ANNEXE 29</w:t>
      </w:r>
    </w:p>
    <w:tbl>
      <w:tblPr>
        <w:tblStyle w:val="Tabelraster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668"/>
        <w:gridCol w:w="2208"/>
        <w:gridCol w:w="4180"/>
      </w:tblGrid>
      <w:tr w:rsidR="003042AE" w:rsidRPr="004F487E" w14:paraId="201EE10E" w14:textId="77777777" w:rsidTr="00F10697">
        <w:trPr>
          <w:trHeight w:val="275"/>
        </w:trPr>
        <w:tc>
          <w:tcPr>
            <w:tcW w:w="2736" w:type="dxa"/>
            <w:vMerge w:val="restart"/>
            <w:tcBorders>
              <w:right w:val="single" w:sz="4" w:space="0" w:color="auto"/>
            </w:tcBorders>
          </w:tcPr>
          <w:p w14:paraId="52B23066" w14:textId="77777777" w:rsidR="003042AE" w:rsidRPr="004F487E" w:rsidRDefault="003042AE">
            <w:pPr>
              <w:rPr>
                <w:lang w:val="fr-FR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8F794B2" w14:textId="77777777" w:rsidR="003042AE" w:rsidRPr="004F487E" w:rsidRDefault="003042AE" w:rsidP="003042AE">
            <w:pPr>
              <w:jc w:val="center"/>
              <w:rPr>
                <w:lang w:val="fr-FR"/>
              </w:rPr>
            </w:pPr>
          </w:p>
          <w:p w14:paraId="6D1029C2" w14:textId="77777777" w:rsidR="003042AE" w:rsidRPr="004F487E" w:rsidRDefault="000A17F3" w:rsidP="003042AE">
            <w:pPr>
              <w:jc w:val="center"/>
              <w:rPr>
                <w:lang w:val="fr-FR"/>
              </w:rPr>
            </w:pPr>
            <w:r w:rsidRPr="004F487E">
              <w:rPr>
                <w:color w:val="0000FF"/>
                <w:sz w:val="48"/>
                <w:szCs w:val="48"/>
                <w:u w:val="single"/>
                <w:lang w:val="fr-FR"/>
              </w:rPr>
              <w:t>Description de fonction</w:t>
            </w:r>
          </w:p>
        </w:tc>
      </w:tr>
      <w:tr w:rsidR="003042AE" w:rsidRPr="00EF72CE" w14:paraId="636DEC3D" w14:textId="77777777" w:rsidTr="00F10697">
        <w:trPr>
          <w:trHeight w:val="275"/>
        </w:trPr>
        <w:tc>
          <w:tcPr>
            <w:tcW w:w="2736" w:type="dxa"/>
            <w:vMerge/>
            <w:tcBorders>
              <w:right w:val="single" w:sz="4" w:space="0" w:color="auto"/>
            </w:tcBorders>
          </w:tcPr>
          <w:p w14:paraId="5BAC8703" w14:textId="77777777" w:rsidR="003042AE" w:rsidRPr="004F487E" w:rsidRDefault="003042AE">
            <w:pPr>
              <w:rPr>
                <w:lang w:val="fr-FR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46F63" w14:textId="77777777" w:rsidR="00CA41C1" w:rsidRPr="004F487E" w:rsidRDefault="00CA41C1" w:rsidP="003042AE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lang w:val="fr-FR"/>
              </w:rPr>
            </w:pPr>
          </w:p>
          <w:p w14:paraId="7EF1CEA6" w14:textId="77777777" w:rsidR="00CA41C1" w:rsidRPr="004F487E" w:rsidRDefault="00CA41C1" w:rsidP="003042AE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sz w:val="48"/>
                <w:szCs w:val="48"/>
                <w:lang w:val="fr-FR"/>
              </w:rPr>
            </w:pPr>
            <w:r w:rsidRPr="004F487E">
              <w:rPr>
                <w:b/>
                <w:color w:val="0000FF"/>
                <w:sz w:val="48"/>
                <w:szCs w:val="48"/>
                <w:lang w:val="fr-FR"/>
              </w:rPr>
              <w:t>Spécialiste</w:t>
            </w:r>
            <w:r w:rsidR="00365E65" w:rsidRPr="004F487E">
              <w:rPr>
                <w:b/>
                <w:color w:val="0000FF"/>
                <w:sz w:val="48"/>
                <w:szCs w:val="48"/>
                <w:lang w:val="fr-FR"/>
              </w:rPr>
              <w:t xml:space="preserve"> Formation Entraînement et Exercices</w:t>
            </w:r>
          </w:p>
          <w:p w14:paraId="1D91C485" w14:textId="77777777" w:rsidR="001056C5" w:rsidRPr="004F487E" w:rsidRDefault="00CA41C1" w:rsidP="003042AE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lang w:val="fr-FR"/>
              </w:rPr>
            </w:pPr>
            <w:r w:rsidRPr="004F487E">
              <w:rPr>
                <w:b/>
                <w:color w:val="0000FF"/>
                <w:lang w:val="fr-FR"/>
              </w:rPr>
              <w:t xml:space="preserve"> </w:t>
            </w:r>
            <w:r w:rsidR="001056C5" w:rsidRPr="004F487E">
              <w:rPr>
                <w:b/>
                <w:color w:val="0000FF"/>
                <w:lang w:val="fr-FR"/>
              </w:rPr>
              <w:t xml:space="preserve">(Forop </w:t>
            </w:r>
            <w:r w:rsidRPr="004F487E">
              <w:rPr>
                <w:b/>
                <w:color w:val="0000FF"/>
                <w:lang w:val="fr-FR"/>
              </w:rPr>
              <w:t>2</w:t>
            </w:r>
            <w:r w:rsidR="001056C5" w:rsidRPr="004F487E">
              <w:rPr>
                <w:b/>
                <w:color w:val="0000FF"/>
                <w:lang w:val="fr-FR"/>
              </w:rPr>
              <w:t>)</w:t>
            </w:r>
          </w:p>
          <w:p w14:paraId="7C2CF2DC" w14:textId="77777777" w:rsidR="003042AE" w:rsidRPr="004F487E" w:rsidRDefault="003042AE" w:rsidP="003042AE">
            <w:pPr>
              <w:jc w:val="center"/>
              <w:rPr>
                <w:lang w:val="fr-FR"/>
              </w:rPr>
            </w:pPr>
          </w:p>
        </w:tc>
      </w:tr>
      <w:tr w:rsidR="00F10697" w:rsidRPr="00EF72CE" w14:paraId="020B5E15" w14:textId="77777777" w:rsidTr="00F10697">
        <w:tc>
          <w:tcPr>
            <w:tcW w:w="2736" w:type="dxa"/>
          </w:tcPr>
          <w:p w14:paraId="0B0CC5FE" w14:textId="77777777" w:rsidR="00F10697" w:rsidRPr="004F487E" w:rsidRDefault="00F10697" w:rsidP="0035349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144EFC" w14:textId="77777777" w:rsidR="00F10697" w:rsidRPr="004F487E" w:rsidRDefault="00F10697" w:rsidP="00F10697">
            <w:pPr>
              <w:jc w:val="center"/>
              <w:rPr>
                <w:sz w:val="20"/>
                <w:szCs w:val="20"/>
                <w:lang w:val="fr-FR"/>
              </w:rPr>
            </w:pPr>
            <w:r w:rsidRPr="004F487E">
              <w:rPr>
                <w:sz w:val="20"/>
                <w:szCs w:val="20"/>
                <w:lang w:val="fr-FR"/>
              </w:rPr>
              <w:tab/>
            </w:r>
          </w:p>
          <w:p w14:paraId="1A26C562" w14:textId="621A61DF" w:rsidR="00F10697" w:rsidRPr="004F487E" w:rsidRDefault="00F10697" w:rsidP="00F10697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4F487E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Cette fonction est </w:t>
            </w:r>
            <w:r w:rsidR="0091235C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en principe </w:t>
            </w:r>
            <w:r w:rsidRPr="004F487E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associée à une fonction du cadre </w:t>
            </w:r>
            <w:r w:rsidR="002E2541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de base, cadre moyen ou cadre </w:t>
            </w:r>
            <w:r w:rsidRPr="004F487E">
              <w:rPr>
                <w:rFonts w:cs="Arial"/>
                <w:color w:val="000000"/>
                <w:sz w:val="20"/>
                <w:szCs w:val="20"/>
                <w:lang w:val="fr-FR"/>
              </w:rPr>
              <w:t>supérieur.</w:t>
            </w:r>
          </w:p>
          <w:p w14:paraId="5C6EFE0B" w14:textId="77777777" w:rsidR="00F10697" w:rsidRPr="004F487E" w:rsidRDefault="00F10697" w:rsidP="00F10697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2914C3BD" w14:textId="198DA037" w:rsidR="00F10697" w:rsidRPr="004F487E" w:rsidRDefault="00F10697" w:rsidP="00F10697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4F487E">
              <w:rPr>
                <w:rFonts w:cs="Arial"/>
                <w:color w:val="000000"/>
                <w:sz w:val="20"/>
                <w:szCs w:val="20"/>
                <w:lang w:val="fr-FR"/>
              </w:rPr>
              <w:t>La zone prévoit cette fonction en fonction de son analyse des risques.</w:t>
            </w:r>
          </w:p>
          <w:p w14:paraId="1CA5F80A" w14:textId="77777777" w:rsidR="00F10697" w:rsidRPr="004F487E" w:rsidRDefault="00F10697" w:rsidP="00F10697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26294AF6" w14:textId="77777777" w:rsidR="00F10697" w:rsidRPr="004F487E" w:rsidRDefault="00F10697" w:rsidP="00F10697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4F487E">
              <w:rPr>
                <w:rFonts w:cs="Arial"/>
                <w:color w:val="000000"/>
                <w:sz w:val="20"/>
                <w:szCs w:val="20"/>
                <w:lang w:val="fr-FR"/>
              </w:rPr>
              <w:t>Cette fonction peut également être assurée par du personnel administratif non opérationnel.</w:t>
            </w:r>
          </w:p>
          <w:p w14:paraId="64181D24" w14:textId="77777777" w:rsidR="00F10697" w:rsidRDefault="00F10697" w:rsidP="00F10697">
            <w:pPr>
              <w:tabs>
                <w:tab w:val="left" w:pos="1950"/>
              </w:tabs>
              <w:rPr>
                <w:sz w:val="20"/>
                <w:szCs w:val="20"/>
                <w:lang w:val="fr-FR"/>
              </w:rPr>
            </w:pPr>
          </w:p>
          <w:p w14:paraId="55FDDBBE" w14:textId="77777777" w:rsidR="003E37F1" w:rsidRDefault="003E37F1" w:rsidP="003E37F1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Cette fonction peut également être reprise dans le cadre de la réaffectation sur requête volontaire, prévue à l'article 119 de l'arrêté royal du 19 avril 2014 relatif au statut du personnel opérationnel des zones de secours.</w:t>
            </w:r>
          </w:p>
          <w:p w14:paraId="06E3DE32" w14:textId="77777777" w:rsidR="003E37F1" w:rsidRDefault="003E37F1" w:rsidP="003E37F1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6ECFD34B" w14:textId="77777777" w:rsidR="003E37F1" w:rsidRDefault="003E37F1" w:rsidP="003E37F1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Cette fonction peut également être reprise dans le cadre de l’arrêté ministériel du 11 juin 2015 fixant la liste des fonctions allégées, adaptées visées à l'article 126, alinéa 3, de l'arrêté royal du 19 avril 2014 relatif au statut administratif du personnel opérationnel des zones de secours.</w:t>
            </w:r>
          </w:p>
          <w:p w14:paraId="192D831B" w14:textId="77777777" w:rsidR="003E37F1" w:rsidRPr="004F487E" w:rsidRDefault="003E37F1" w:rsidP="00F10697">
            <w:pPr>
              <w:tabs>
                <w:tab w:val="left" w:pos="1950"/>
              </w:tabs>
              <w:rPr>
                <w:sz w:val="20"/>
                <w:szCs w:val="20"/>
                <w:lang w:val="fr-FR"/>
              </w:rPr>
            </w:pPr>
          </w:p>
        </w:tc>
      </w:tr>
      <w:tr w:rsidR="000A17F3" w:rsidRPr="00EF72CE" w14:paraId="55B6B9F4" w14:textId="77777777" w:rsidTr="00F10697">
        <w:tc>
          <w:tcPr>
            <w:tcW w:w="2736" w:type="dxa"/>
          </w:tcPr>
          <w:p w14:paraId="0924F2BF" w14:textId="77777777" w:rsidR="000A17F3" w:rsidRPr="004F487E" w:rsidRDefault="000A17F3">
            <w:pPr>
              <w:rPr>
                <w:lang w:val="fr-FR"/>
              </w:rPr>
            </w:pPr>
            <w:r w:rsidRPr="004F487E">
              <w:rPr>
                <w:b/>
                <w:color w:val="0000FF"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65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482622" w14:textId="77777777" w:rsidR="00C838F8" w:rsidRDefault="00C838F8" w:rsidP="002A4B21">
            <w:pPr>
              <w:rPr>
                <w:sz w:val="20"/>
                <w:szCs w:val="20"/>
                <w:lang w:val="fr-FR"/>
              </w:rPr>
            </w:pPr>
          </w:p>
          <w:p w14:paraId="698135D2" w14:textId="3D482765" w:rsidR="000A17F3" w:rsidRPr="004F487E" w:rsidRDefault="00173F40" w:rsidP="002A4B21">
            <w:pPr>
              <w:rPr>
                <w:sz w:val="20"/>
                <w:szCs w:val="20"/>
                <w:lang w:val="fr-FR"/>
              </w:rPr>
            </w:pPr>
            <w:r w:rsidRPr="004F487E">
              <w:rPr>
                <w:sz w:val="20"/>
                <w:szCs w:val="20"/>
                <w:lang w:val="fr-FR"/>
              </w:rPr>
              <w:t>Le Spécialiste Formation</w:t>
            </w:r>
            <w:r w:rsidR="00F04A10" w:rsidRPr="004F487E">
              <w:rPr>
                <w:sz w:val="20"/>
                <w:szCs w:val="20"/>
                <w:lang w:val="fr-FR"/>
              </w:rPr>
              <w:t xml:space="preserve"> Entraînement et Exercices</w:t>
            </w:r>
            <w:r w:rsidRPr="004F487E">
              <w:rPr>
                <w:sz w:val="20"/>
                <w:szCs w:val="20"/>
                <w:lang w:val="fr-FR"/>
              </w:rPr>
              <w:t xml:space="preserve"> (FEE) est chargé de la formation, des exercic</w:t>
            </w:r>
            <w:r w:rsidR="00DB3245" w:rsidRPr="004F487E">
              <w:rPr>
                <w:sz w:val="20"/>
                <w:szCs w:val="20"/>
                <w:lang w:val="fr-FR"/>
              </w:rPr>
              <w:t xml:space="preserve">es et </w:t>
            </w:r>
            <w:r w:rsidR="009042CB">
              <w:rPr>
                <w:sz w:val="20"/>
                <w:szCs w:val="20"/>
                <w:lang w:val="fr-FR"/>
              </w:rPr>
              <w:t>les recyclages</w:t>
            </w:r>
            <w:r w:rsidR="00DB3245" w:rsidRPr="004F487E">
              <w:rPr>
                <w:sz w:val="20"/>
                <w:szCs w:val="20"/>
                <w:lang w:val="fr-FR"/>
              </w:rPr>
              <w:t>, conformément à la politique en vigueur.</w:t>
            </w:r>
          </w:p>
          <w:p w14:paraId="1CFA9F1C" w14:textId="77777777" w:rsidR="000A17F3" w:rsidRPr="004F487E" w:rsidRDefault="000A17F3" w:rsidP="00F10697">
            <w:pPr>
              <w:spacing w:before="120" w:after="12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0A17F3" w:rsidRPr="00EF72CE" w14:paraId="70E6AA5C" w14:textId="77777777" w:rsidTr="00F10697">
        <w:tc>
          <w:tcPr>
            <w:tcW w:w="2736" w:type="dxa"/>
          </w:tcPr>
          <w:p w14:paraId="5E08BC1A" w14:textId="77777777" w:rsidR="000A17F3" w:rsidRPr="008E42C8" w:rsidRDefault="000A17F3" w:rsidP="00353499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8E42C8">
              <w:rPr>
                <w:b/>
                <w:color w:val="0000FF"/>
                <w:sz w:val="20"/>
                <w:szCs w:val="20"/>
                <w:lang w:val="fr-FR"/>
              </w:rPr>
              <w:t>Description</w:t>
            </w:r>
          </w:p>
          <w:p w14:paraId="102511F5" w14:textId="77777777" w:rsidR="000A17F3" w:rsidRPr="008E42C8" w:rsidRDefault="000A17F3" w:rsidP="0035349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792E95AE" w14:textId="77777777" w:rsidR="000A17F3" w:rsidRPr="008E42C8" w:rsidRDefault="000A17F3" w:rsidP="002A4B2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46" w:type="dxa"/>
            <w:gridSpan w:val="2"/>
            <w:shd w:val="clear" w:color="auto" w:fill="auto"/>
          </w:tcPr>
          <w:p w14:paraId="0B311E76" w14:textId="77777777" w:rsidR="000A17F3" w:rsidRPr="004F487E" w:rsidRDefault="000A17F3" w:rsidP="002A4B21">
            <w:pPr>
              <w:rPr>
                <w:sz w:val="20"/>
                <w:szCs w:val="20"/>
                <w:lang w:val="fr-FR"/>
              </w:rPr>
            </w:pPr>
          </w:p>
          <w:p w14:paraId="766A5E38" w14:textId="77777777" w:rsidR="003F5121" w:rsidRDefault="00FB1A56" w:rsidP="00DB3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8E42C8">
              <w:rPr>
                <w:sz w:val="20"/>
                <w:szCs w:val="20"/>
                <w:lang w:val="fr-FR"/>
              </w:rPr>
              <w:t>L'ensemble de</w:t>
            </w:r>
            <w:r w:rsidR="00053B43" w:rsidRPr="008E42C8">
              <w:rPr>
                <w:sz w:val="20"/>
                <w:szCs w:val="20"/>
                <w:lang w:val="fr-FR"/>
              </w:rPr>
              <w:t>s</w:t>
            </w:r>
            <w:r w:rsidRPr="008E42C8">
              <w:rPr>
                <w:sz w:val="20"/>
                <w:szCs w:val="20"/>
                <w:lang w:val="fr-FR"/>
              </w:rPr>
              <w:t xml:space="preserve"> tâches du Spécialiste FEE est axé sur les aspects suivants :</w:t>
            </w:r>
          </w:p>
          <w:p w14:paraId="69AD83E0" w14:textId="77777777" w:rsidR="003F5121" w:rsidRDefault="003F5121" w:rsidP="00DB3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0A91A31" w14:textId="141C1F97" w:rsidR="00DB3245" w:rsidRPr="004F487E" w:rsidRDefault="00DB3245" w:rsidP="00DB3245">
            <w:pPr>
              <w:widowControl w:val="0"/>
              <w:autoSpaceDE w:val="0"/>
              <w:autoSpaceDN w:val="0"/>
              <w:adjustRightInd w:val="0"/>
              <w:ind w:firstLine="241"/>
              <w:rPr>
                <w:sz w:val="20"/>
                <w:szCs w:val="20"/>
                <w:lang w:val="fr-FR"/>
              </w:rPr>
            </w:pPr>
            <w:r w:rsidRPr="004F487E">
              <w:rPr>
                <w:sz w:val="20"/>
                <w:szCs w:val="20"/>
                <w:lang w:val="fr-FR"/>
              </w:rPr>
              <w:t xml:space="preserve">• </w:t>
            </w:r>
            <w:r w:rsidR="00FB1A56">
              <w:rPr>
                <w:sz w:val="20"/>
                <w:szCs w:val="20"/>
                <w:lang w:val="fr-FR"/>
              </w:rPr>
              <w:t>politique</w:t>
            </w:r>
            <w:r w:rsidRPr="004F487E">
              <w:rPr>
                <w:sz w:val="20"/>
                <w:szCs w:val="20"/>
                <w:lang w:val="fr-FR"/>
              </w:rPr>
              <w:t xml:space="preserve"> (</w:t>
            </w:r>
            <w:r w:rsidR="00FB1A56">
              <w:rPr>
                <w:sz w:val="20"/>
                <w:szCs w:val="20"/>
                <w:lang w:val="fr-FR"/>
              </w:rPr>
              <w:t xml:space="preserve">en matière de formation, exercices et </w:t>
            </w:r>
            <w:r w:rsidR="009042CB">
              <w:rPr>
                <w:sz w:val="20"/>
                <w:szCs w:val="20"/>
                <w:lang w:val="fr-FR"/>
              </w:rPr>
              <w:t>recyclage</w:t>
            </w:r>
            <w:r w:rsidR="00FB1A56">
              <w:rPr>
                <w:sz w:val="20"/>
                <w:szCs w:val="20"/>
                <w:lang w:val="fr-FR"/>
              </w:rPr>
              <w:t>)</w:t>
            </w:r>
          </w:p>
          <w:p w14:paraId="325EA045" w14:textId="77777777" w:rsidR="00DB3245" w:rsidRPr="004F487E" w:rsidRDefault="00DB3245" w:rsidP="00DB3245">
            <w:pPr>
              <w:widowControl w:val="0"/>
              <w:autoSpaceDE w:val="0"/>
              <w:autoSpaceDN w:val="0"/>
              <w:adjustRightInd w:val="0"/>
              <w:ind w:firstLine="241"/>
              <w:rPr>
                <w:sz w:val="20"/>
                <w:szCs w:val="20"/>
                <w:lang w:val="fr-FR"/>
              </w:rPr>
            </w:pPr>
            <w:r w:rsidRPr="004F487E">
              <w:rPr>
                <w:sz w:val="20"/>
                <w:szCs w:val="20"/>
                <w:lang w:val="fr-FR"/>
              </w:rPr>
              <w:t xml:space="preserve">• </w:t>
            </w:r>
            <w:r w:rsidR="00FB1A56">
              <w:rPr>
                <w:sz w:val="20"/>
                <w:szCs w:val="20"/>
                <w:lang w:val="fr-FR"/>
              </w:rPr>
              <w:t>exécution</w:t>
            </w:r>
            <w:r w:rsidRPr="004F487E">
              <w:rPr>
                <w:sz w:val="20"/>
                <w:szCs w:val="20"/>
                <w:lang w:val="fr-FR"/>
              </w:rPr>
              <w:t xml:space="preserve"> (</w:t>
            </w:r>
            <w:r w:rsidR="00FB1A56">
              <w:rPr>
                <w:sz w:val="20"/>
                <w:szCs w:val="20"/>
                <w:lang w:val="fr-FR"/>
              </w:rPr>
              <w:t>agir en tant que dirigeant d'exercices</w:t>
            </w:r>
            <w:r w:rsidRPr="004F487E">
              <w:rPr>
                <w:sz w:val="20"/>
                <w:szCs w:val="20"/>
                <w:lang w:val="fr-FR"/>
              </w:rPr>
              <w:t>)</w:t>
            </w:r>
          </w:p>
          <w:p w14:paraId="73374211" w14:textId="77777777" w:rsidR="00DB3245" w:rsidRPr="004F487E" w:rsidRDefault="00DB3245" w:rsidP="00DB3245">
            <w:pPr>
              <w:widowControl w:val="0"/>
              <w:autoSpaceDE w:val="0"/>
              <w:autoSpaceDN w:val="0"/>
              <w:adjustRightInd w:val="0"/>
              <w:ind w:firstLine="241"/>
              <w:rPr>
                <w:sz w:val="20"/>
                <w:szCs w:val="20"/>
                <w:lang w:val="fr-FR"/>
              </w:rPr>
            </w:pPr>
            <w:r w:rsidRPr="004F487E">
              <w:rPr>
                <w:sz w:val="20"/>
                <w:szCs w:val="20"/>
                <w:lang w:val="fr-FR"/>
              </w:rPr>
              <w:t xml:space="preserve">• </w:t>
            </w:r>
            <w:r w:rsidR="0047519F">
              <w:rPr>
                <w:sz w:val="20"/>
                <w:szCs w:val="20"/>
                <w:lang w:val="fr-FR"/>
              </w:rPr>
              <w:t>surveillance</w:t>
            </w:r>
            <w:r w:rsidRPr="004F487E">
              <w:rPr>
                <w:sz w:val="20"/>
                <w:szCs w:val="20"/>
                <w:lang w:val="fr-FR"/>
              </w:rPr>
              <w:t xml:space="preserve"> (</w:t>
            </w:r>
            <w:r w:rsidR="0047519F">
              <w:rPr>
                <w:sz w:val="20"/>
                <w:szCs w:val="20"/>
                <w:lang w:val="fr-FR"/>
              </w:rPr>
              <w:t>du contenu, des progrès et de la qualité)</w:t>
            </w:r>
          </w:p>
          <w:p w14:paraId="29EE7F90" w14:textId="77777777" w:rsidR="00DB3245" w:rsidRPr="004F487E" w:rsidRDefault="00DB3245" w:rsidP="00DB3245">
            <w:pPr>
              <w:widowControl w:val="0"/>
              <w:autoSpaceDE w:val="0"/>
              <w:autoSpaceDN w:val="0"/>
              <w:adjustRightInd w:val="0"/>
              <w:ind w:firstLine="241"/>
              <w:rPr>
                <w:sz w:val="20"/>
                <w:szCs w:val="20"/>
                <w:lang w:val="fr-FR"/>
              </w:rPr>
            </w:pPr>
            <w:r w:rsidRPr="004F487E">
              <w:rPr>
                <w:sz w:val="20"/>
                <w:szCs w:val="20"/>
                <w:lang w:val="fr-FR"/>
              </w:rPr>
              <w:t xml:space="preserve">• </w:t>
            </w:r>
            <w:r w:rsidR="0047519F">
              <w:rPr>
                <w:sz w:val="20"/>
                <w:szCs w:val="20"/>
                <w:lang w:val="fr-FR"/>
              </w:rPr>
              <w:t>renouvellement</w:t>
            </w:r>
            <w:r w:rsidRPr="004F487E">
              <w:rPr>
                <w:sz w:val="20"/>
                <w:szCs w:val="20"/>
                <w:lang w:val="fr-FR"/>
              </w:rPr>
              <w:t xml:space="preserve"> (</w:t>
            </w:r>
            <w:r w:rsidR="0047519F">
              <w:rPr>
                <w:sz w:val="20"/>
                <w:szCs w:val="20"/>
                <w:lang w:val="fr-FR"/>
              </w:rPr>
              <w:t xml:space="preserve">du contenu et didactique) </w:t>
            </w:r>
          </w:p>
          <w:p w14:paraId="3DA074AE" w14:textId="77777777" w:rsidR="00DB3245" w:rsidRPr="004F487E" w:rsidRDefault="00DB3245" w:rsidP="00DB3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FA907FC" w14:textId="77777777" w:rsidR="0047519F" w:rsidRDefault="0047519F" w:rsidP="00DB3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Spécialiste FEE peut travailler tant dans un contexte monodisciplinaire que multidisciplinaire, et exerce une fonction de politique, de direction ou de coordination. Il s'agit d'un spécialiste qui apporte son soutien </w:t>
            </w:r>
            <w:r w:rsidR="0018148C">
              <w:rPr>
                <w:sz w:val="20"/>
                <w:szCs w:val="20"/>
                <w:lang w:val="fr-FR"/>
              </w:rPr>
              <w:t>grâce à</w:t>
            </w:r>
            <w:r>
              <w:rPr>
                <w:sz w:val="20"/>
                <w:szCs w:val="20"/>
                <w:lang w:val="fr-FR"/>
              </w:rPr>
              <w:t xml:space="preserve"> son propre domaine de spécialisation.</w:t>
            </w:r>
          </w:p>
          <w:p w14:paraId="22A4210C" w14:textId="77777777" w:rsidR="0047519F" w:rsidRDefault="0047519F" w:rsidP="00DB3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0D947C50" w14:textId="77777777" w:rsidR="00DB3245" w:rsidRPr="004F487E" w:rsidRDefault="0047519F" w:rsidP="00DB3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Il ne travaille pas seul, mais fonctionne en équipe. Par conséquent, il doit pouvoir collaborer dans différentes cultures/disciplines et à </w:t>
            </w:r>
            <w:r w:rsidR="0018148C">
              <w:rPr>
                <w:sz w:val="20"/>
                <w:szCs w:val="20"/>
                <w:lang w:val="fr-FR"/>
              </w:rPr>
              <w:t>plusieurs</w:t>
            </w:r>
            <w:r>
              <w:rPr>
                <w:sz w:val="20"/>
                <w:szCs w:val="20"/>
                <w:lang w:val="fr-FR"/>
              </w:rPr>
              <w:t xml:space="preserve"> niveaux de communication, de manière axée sur les projets.</w:t>
            </w:r>
          </w:p>
          <w:p w14:paraId="0FEBE37C" w14:textId="77777777" w:rsidR="000A17F3" w:rsidRDefault="000A17F3" w:rsidP="00CA41C1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6D51A9A9" w14:textId="77777777" w:rsidR="00C838F8" w:rsidRPr="004F487E" w:rsidRDefault="00C838F8" w:rsidP="00CA41C1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A17F3" w:rsidRPr="00EF72CE" w14:paraId="3130FBC9" w14:textId="77777777" w:rsidTr="00F10697">
        <w:tc>
          <w:tcPr>
            <w:tcW w:w="2736" w:type="dxa"/>
          </w:tcPr>
          <w:p w14:paraId="5C226FE6" w14:textId="77777777" w:rsidR="000A17F3" w:rsidRPr="008E42C8" w:rsidRDefault="000A17F3" w:rsidP="00053B43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8E42C8">
              <w:rPr>
                <w:b/>
                <w:color w:val="0000FF"/>
                <w:sz w:val="20"/>
                <w:szCs w:val="20"/>
                <w:lang w:val="fr-FR"/>
              </w:rPr>
              <w:lastRenderedPageBreak/>
              <w:t>Tâches</w:t>
            </w:r>
            <w:r w:rsidR="00053B43" w:rsidRPr="008E42C8">
              <w:rPr>
                <w:b/>
                <w:color w:val="0000FF"/>
                <w:sz w:val="20"/>
                <w:szCs w:val="20"/>
                <w:lang w:val="fr-FR"/>
              </w:rPr>
              <w:t>-</w:t>
            </w:r>
            <w:r w:rsidRPr="008E42C8">
              <w:rPr>
                <w:b/>
                <w:color w:val="0000FF"/>
                <w:sz w:val="20"/>
                <w:szCs w:val="20"/>
                <w:lang w:val="fr-FR"/>
              </w:rPr>
              <w:t>clés et domaine</w:t>
            </w:r>
            <w:r w:rsidR="00053B43" w:rsidRPr="008E42C8">
              <w:rPr>
                <w:b/>
                <w:color w:val="0000FF"/>
                <w:sz w:val="20"/>
                <w:szCs w:val="20"/>
                <w:lang w:val="fr-FR"/>
              </w:rPr>
              <w:t>s d’activité</w:t>
            </w:r>
          </w:p>
        </w:tc>
        <w:tc>
          <w:tcPr>
            <w:tcW w:w="6546" w:type="dxa"/>
            <w:gridSpan w:val="2"/>
            <w:shd w:val="clear" w:color="auto" w:fill="auto"/>
          </w:tcPr>
          <w:p w14:paraId="302BBAB9" w14:textId="77777777" w:rsidR="000A17F3" w:rsidRPr="004F487E" w:rsidRDefault="000A17F3" w:rsidP="006B5689">
            <w:pPr>
              <w:tabs>
                <w:tab w:val="num" w:pos="90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18A721D4" w14:textId="77777777" w:rsidR="000A17F3" w:rsidRPr="004F487E" w:rsidRDefault="00CA41C1" w:rsidP="00F10697">
            <w:pPr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F487E">
              <w:rPr>
                <w:rFonts w:cs="Arial"/>
                <w:b/>
                <w:sz w:val="20"/>
                <w:szCs w:val="20"/>
                <w:u w:val="single"/>
                <w:lang w:val="fr-FR"/>
              </w:rPr>
              <w:t>Spécialiste</w:t>
            </w:r>
          </w:p>
          <w:p w14:paraId="5EC97497" w14:textId="77777777" w:rsidR="000A17F3" w:rsidRPr="004F487E" w:rsidRDefault="000A17F3" w:rsidP="006B5689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718AB5FF" w14:textId="15F4ABCA" w:rsidR="00D87742" w:rsidRDefault="00D87742" w:rsidP="00DB3245">
            <w:pPr>
              <w:spacing w:beforeLines="1" w:before="2" w:afterLines="1" w:after="2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 xml:space="preserve">Le Spécialiste FEE développe une politique FEE. Il met au point, organise, dirige et évalue les formations, exercices et activités de recyclage et veille à/garantit la qualité des formations, exercices et </w:t>
            </w:r>
            <w:r w:rsidR="009042CB">
              <w:rPr>
                <w:rFonts w:cs="Arial"/>
                <w:sz w:val="20"/>
                <w:szCs w:val="20"/>
                <w:lang w:val="fr-FR"/>
              </w:rPr>
              <w:t>recyclages</w:t>
            </w:r>
            <w:r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7174DC1D" w14:textId="77777777" w:rsidR="000A17F3" w:rsidRPr="004F487E" w:rsidRDefault="000A17F3" w:rsidP="001056C5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2B2D34B4" w14:textId="77777777" w:rsidR="000A17F3" w:rsidRPr="004F487E" w:rsidRDefault="000A17F3" w:rsidP="006B5689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004BB416" w14:textId="77777777" w:rsidR="0030732F" w:rsidRPr="004F487E" w:rsidRDefault="0030732F" w:rsidP="0030732F">
            <w:pPr>
              <w:ind w:firstLine="360"/>
              <w:outlineLvl w:val="0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F487E">
              <w:rPr>
                <w:rFonts w:cs="Arial"/>
                <w:sz w:val="20"/>
                <w:szCs w:val="20"/>
                <w:u w:val="single"/>
                <w:lang w:val="fr-FR"/>
              </w:rPr>
              <w:t>Tâches possibles (non limitatives)</w:t>
            </w:r>
            <w:r w:rsidRPr="004F487E">
              <w:rPr>
                <w:rFonts w:cs="Arial"/>
                <w:sz w:val="20"/>
                <w:szCs w:val="20"/>
                <w:lang w:val="fr-FR"/>
              </w:rPr>
              <w:t> :</w:t>
            </w:r>
          </w:p>
          <w:p w14:paraId="73486989" w14:textId="77777777" w:rsidR="00207801" w:rsidRDefault="0018148C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Définir l</w:t>
            </w:r>
            <w:r w:rsidR="00207801">
              <w:rPr>
                <w:rFonts w:cs="Arial"/>
                <w:color w:val="000000"/>
                <w:sz w:val="20"/>
                <w:szCs w:val="20"/>
                <w:lang w:val="fr-FR"/>
              </w:rPr>
              <w:t>es besoins FEE en concertation avec le dirigeant et les autres parties prenantes.</w:t>
            </w:r>
          </w:p>
          <w:p w14:paraId="3C0599CB" w14:textId="77777777" w:rsidR="00207801" w:rsidRDefault="00F25F10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Conseiller, sur demande ou non, au sujet de la gestion relative à la politique FEE.</w:t>
            </w:r>
          </w:p>
          <w:p w14:paraId="3DE9CDB3" w14:textId="77777777" w:rsidR="00DB3245" w:rsidRPr="004F487E" w:rsidRDefault="00F25F10" w:rsidP="00B261A5">
            <w:pPr>
              <w:numPr>
                <w:ilvl w:val="0"/>
                <w:numId w:val="14"/>
              </w:numPr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Transposer les développements fédéraux, </w:t>
            </w:r>
            <w:r w:rsidR="004F6202">
              <w:rPr>
                <w:rFonts w:cs="Arial"/>
                <w:color w:val="000000"/>
                <w:sz w:val="20"/>
                <w:szCs w:val="20"/>
                <w:lang w:val="fr-FR"/>
              </w:rPr>
              <w:t>conformes à la politique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, juridiques et </w:t>
            </w:r>
            <w:r w:rsidR="004F6202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sociaux </w:t>
            </w:r>
            <w:r w:rsidR="00B261A5" w:rsidRPr="00B261A5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et les points d'apprentissage </w:t>
            </w:r>
            <w:r w:rsidR="004F6202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d'incidents locaux et exercices antérieurs en une politique relative au contenu et à l'organisation de formations, exercices et </w:t>
            </w:r>
            <w:r w:rsidR="0018148C">
              <w:rPr>
                <w:rFonts w:cs="Arial"/>
                <w:color w:val="000000"/>
                <w:sz w:val="20"/>
                <w:szCs w:val="20"/>
                <w:lang w:val="fr-FR"/>
              </w:rPr>
              <w:t>cours</w:t>
            </w:r>
            <w:r w:rsidR="004F6202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de recyclage.</w:t>
            </w:r>
          </w:p>
          <w:p w14:paraId="4D851468" w14:textId="77777777" w:rsidR="00DB3245" w:rsidRPr="004F487E" w:rsidRDefault="004F6202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Harmonis</w:t>
            </w:r>
            <w:r w:rsidR="0018148C">
              <w:rPr>
                <w:rFonts w:cs="Arial"/>
                <w:color w:val="000000"/>
                <w:sz w:val="20"/>
                <w:szCs w:val="20"/>
                <w:lang w:val="fr-FR"/>
              </w:rPr>
              <w:t>er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la politique de formation et d'exercice pluriannuelle avec les directives européennes, </w:t>
            </w:r>
            <w:r w:rsidR="00B261A5">
              <w:rPr>
                <w:rFonts w:cs="Arial"/>
                <w:color w:val="000000"/>
                <w:sz w:val="20"/>
                <w:szCs w:val="20"/>
                <w:lang w:val="fr-FR"/>
              </w:rPr>
              <w:t>l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es plans d'exercices comparables d'autres services et les besoins de l'environnement de travail.</w:t>
            </w:r>
          </w:p>
          <w:p w14:paraId="056CC575" w14:textId="77777777" w:rsidR="00DB3245" w:rsidRPr="004F487E" w:rsidRDefault="004F6202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Développer et organiser les programmes de formation, exercice et recyclage.</w:t>
            </w:r>
          </w:p>
          <w:p w14:paraId="38DFCDA8" w14:textId="77777777" w:rsidR="00DB3245" w:rsidRPr="004F487E" w:rsidRDefault="004F6202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Développer des programmes d'exercice intégrés pour les </w:t>
            </w:r>
            <w:r w:rsidR="00B542C9">
              <w:rPr>
                <w:rFonts w:cs="Arial"/>
                <w:color w:val="000000"/>
                <w:sz w:val="20"/>
                <w:szCs w:val="20"/>
                <w:lang w:val="fr-FR"/>
              </w:rPr>
              <w:t>tâches de base, l'engagement à grande échelle et les tâches de coordination dans un environnement multidisciplinaire.</w:t>
            </w:r>
          </w:p>
          <w:p w14:paraId="7CE169B0" w14:textId="77777777" w:rsidR="00B542C9" w:rsidRDefault="00B542C9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Evaluer les programmes et les ajuster le cas échéant.</w:t>
            </w:r>
          </w:p>
          <w:p w14:paraId="6EA085F6" w14:textId="77777777" w:rsidR="00DB3245" w:rsidRPr="004F487E" w:rsidRDefault="00B542C9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Suivre les tendances au niveau du contenu spécialisé et pédagogique ainsi que les développements en matière de FEE, et en évaluer l'utilité au sein de son organisation et/ou de l'organisation multidisciplinaire.</w:t>
            </w:r>
          </w:p>
          <w:p w14:paraId="1F40267B" w14:textId="666F263E" w:rsidR="00DB3245" w:rsidRPr="004F487E" w:rsidRDefault="00B542C9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Utiliser des concepts pédagogiques et des moyens didactiques afin de développer, évaluer et améliorer le contenu, l'efficacité et la qualité des formations, exercices et </w:t>
            </w:r>
            <w:r w:rsidR="009042CB">
              <w:rPr>
                <w:rFonts w:cs="Arial"/>
                <w:color w:val="000000"/>
                <w:sz w:val="20"/>
                <w:szCs w:val="20"/>
                <w:lang w:val="fr-FR"/>
              </w:rPr>
              <w:t>recyclages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7B10F6C0" w14:textId="77777777" w:rsidR="00B542C9" w:rsidRDefault="00F96D5C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Veiller à instaurer une structure (réseau, planning, etc.) pour l'implémentation d'une politique FEE.</w:t>
            </w:r>
          </w:p>
          <w:p w14:paraId="54D71B2F" w14:textId="77777777" w:rsidR="00F96D5C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Confection</w:t>
            </w:r>
            <w:r w:rsidR="0018148C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ner 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un budget de formation, exercice et recyclage.</w:t>
            </w:r>
          </w:p>
          <w:p w14:paraId="5B3AC898" w14:textId="77777777" w:rsidR="00E17EBD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Contrôle</w:t>
            </w:r>
            <w:r w:rsidR="0018148C">
              <w:rPr>
                <w:rFonts w:cs="Arial"/>
                <w:color w:val="000000"/>
                <w:sz w:val="20"/>
                <w:szCs w:val="20"/>
                <w:lang w:val="fr-FR"/>
              </w:rPr>
              <w:t>r le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budget de formation, exercice et recyclage.</w:t>
            </w:r>
          </w:p>
          <w:p w14:paraId="792E45FC" w14:textId="77777777" w:rsidR="00DB3245" w:rsidRPr="004F487E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Appliquer une systématique d'exercice axée sur l'amélioration.</w:t>
            </w:r>
          </w:p>
          <w:p w14:paraId="7F3FBB6B" w14:textId="77777777" w:rsidR="00DB3245" w:rsidRPr="004F487E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Diriger la </w:t>
            </w:r>
            <w:r w:rsidR="0018148C">
              <w:rPr>
                <w:rFonts w:cs="Arial"/>
                <w:color w:val="000000"/>
                <w:sz w:val="20"/>
                <w:szCs w:val="20"/>
                <w:lang w:val="fr-FR"/>
              </w:rPr>
              <w:t>constitution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des plans de cours, feuilles de route</w:t>
            </w:r>
            <w:r w:rsidR="0018148C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et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procédures.</w:t>
            </w:r>
          </w:p>
          <w:p w14:paraId="4B060735" w14:textId="511B0BC3" w:rsidR="00DB3245" w:rsidRPr="004F487E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Rendre mesurable la qualité des </w:t>
            </w:r>
            <w:r w:rsidR="009042CB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formateurs 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et des dirigeants d'exercices.</w:t>
            </w:r>
          </w:p>
          <w:p w14:paraId="414F6887" w14:textId="159F1F9E" w:rsidR="00DB3245" w:rsidRPr="004F487E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Etre responsable du coaching des </w:t>
            </w:r>
            <w:r w:rsidR="009042CB">
              <w:rPr>
                <w:rFonts w:cs="Arial"/>
                <w:color w:val="000000"/>
                <w:sz w:val="20"/>
                <w:szCs w:val="20"/>
                <w:lang w:val="fr-FR"/>
              </w:rPr>
              <w:t>formateurs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1E69C894" w14:textId="148CB9D5" w:rsidR="00DB3245" w:rsidRPr="004F487E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Instaurer un système de contrôle de la qualité des formations, exercices et </w:t>
            </w:r>
            <w:r w:rsidR="009042CB">
              <w:rPr>
                <w:rFonts w:cs="Arial"/>
                <w:color w:val="000000"/>
                <w:sz w:val="20"/>
                <w:szCs w:val="20"/>
                <w:lang w:val="fr-FR"/>
              </w:rPr>
              <w:t>recyclages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5B409ED2" w14:textId="77777777" w:rsidR="00DB3245" w:rsidRPr="004F487E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Utiliser et entretenir le système de contrôle de la qualité.</w:t>
            </w:r>
          </w:p>
          <w:p w14:paraId="5919BBF3" w14:textId="77777777" w:rsidR="00DB3245" w:rsidRPr="004F487E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Analyser et évaluer périodiquement les données provenant du système de contrôle de la qualité et mettre en œuvre les mesures d'amélioration.</w:t>
            </w:r>
          </w:p>
          <w:p w14:paraId="4B4C3510" w14:textId="75C1D427" w:rsidR="00DB3245" w:rsidRPr="004F487E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Se concerter avec les fonctionnaires clés au sujet de la qualité actuelle et souhaitée des formations, exercices et </w:t>
            </w:r>
            <w:r w:rsidR="009042CB">
              <w:rPr>
                <w:rFonts w:cs="Arial"/>
                <w:color w:val="000000"/>
                <w:sz w:val="20"/>
                <w:szCs w:val="20"/>
                <w:lang w:val="fr-FR"/>
              </w:rPr>
              <w:t>recyclages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459C9435" w14:textId="77777777" w:rsidR="00DB3245" w:rsidRPr="004F487E" w:rsidRDefault="00E17EBD" w:rsidP="00DB3245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lastRenderedPageBreak/>
              <w:t xml:space="preserve">Procéder à des contrôles de qualité/audits par échantillonnage. </w:t>
            </w:r>
          </w:p>
          <w:p w14:paraId="22EE9696" w14:textId="77777777" w:rsidR="00CA41C1" w:rsidRPr="004F487E" w:rsidRDefault="00CA41C1" w:rsidP="00DB3245">
            <w:pPr>
              <w:ind w:left="720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3613D075" w14:textId="77777777" w:rsidR="00CA41C1" w:rsidRPr="004F487E" w:rsidRDefault="00CA41C1" w:rsidP="00CA41C1">
            <w:pPr>
              <w:ind w:left="360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E33AD0" w:rsidRPr="00EF72CE" w14:paraId="74A2680B" w14:textId="77777777" w:rsidTr="00F10697">
        <w:tc>
          <w:tcPr>
            <w:tcW w:w="2736" w:type="dxa"/>
          </w:tcPr>
          <w:p w14:paraId="3F381B59" w14:textId="77777777" w:rsidR="00E33AD0" w:rsidRPr="004F487E" w:rsidRDefault="00E33AD0" w:rsidP="00CA41C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46" w:type="dxa"/>
            <w:gridSpan w:val="2"/>
          </w:tcPr>
          <w:p w14:paraId="667DEA30" w14:textId="77777777" w:rsidR="00CA41C1" w:rsidRPr="004F487E" w:rsidRDefault="00CA41C1" w:rsidP="00CA41C1">
            <w:pPr>
              <w:jc w:val="both"/>
              <w:outlineLvl w:val="0"/>
              <w:rPr>
                <w:sz w:val="20"/>
                <w:szCs w:val="20"/>
                <w:lang w:val="fr-FR"/>
              </w:rPr>
            </w:pPr>
          </w:p>
          <w:p w14:paraId="078E30DF" w14:textId="77777777" w:rsidR="00CA41C1" w:rsidRPr="004F487E" w:rsidRDefault="00CA41C1" w:rsidP="00CA41C1">
            <w:pPr>
              <w:jc w:val="both"/>
              <w:outlineLvl w:val="0"/>
              <w:rPr>
                <w:sz w:val="20"/>
                <w:szCs w:val="20"/>
                <w:lang w:val="fr-FR"/>
              </w:rPr>
            </w:pPr>
            <w:r w:rsidRPr="004F487E">
              <w:rPr>
                <w:sz w:val="20"/>
                <w:szCs w:val="20"/>
                <w:lang w:val="fr-FR"/>
              </w:rPr>
              <w:t>La description de fonction pour les parties :</w:t>
            </w:r>
          </w:p>
          <w:p w14:paraId="74F59108" w14:textId="77777777" w:rsidR="00CA41C1" w:rsidRPr="004F487E" w:rsidRDefault="00CA41C1" w:rsidP="00CA41C1">
            <w:pPr>
              <w:pStyle w:val="Lijstalinea"/>
              <w:numPr>
                <w:ilvl w:val="0"/>
                <w:numId w:val="13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F487E">
              <w:rPr>
                <w:rFonts w:ascii="Arial" w:hAnsi="Arial" w:cs="Arial"/>
                <w:sz w:val="20"/>
                <w:szCs w:val="20"/>
                <w:lang w:val="fr-FR"/>
              </w:rPr>
              <w:t>Place dans l'organisation</w:t>
            </w:r>
          </w:p>
          <w:p w14:paraId="0BC9DEB0" w14:textId="77777777" w:rsidR="00CA41C1" w:rsidRPr="004F487E" w:rsidRDefault="00CA41C1" w:rsidP="00CA41C1">
            <w:pPr>
              <w:pStyle w:val="Lijstalinea"/>
              <w:numPr>
                <w:ilvl w:val="0"/>
                <w:numId w:val="13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F487E">
              <w:rPr>
                <w:rFonts w:ascii="Arial" w:hAnsi="Arial" w:cs="Arial"/>
                <w:sz w:val="20"/>
                <w:szCs w:val="20"/>
                <w:lang w:val="fr-FR"/>
              </w:rPr>
              <w:t>Eléments de réseau</w:t>
            </w:r>
          </w:p>
          <w:p w14:paraId="5A70C64D" w14:textId="77777777" w:rsidR="00CA41C1" w:rsidRPr="004F487E" w:rsidRDefault="00CA41C1" w:rsidP="00CA41C1">
            <w:pPr>
              <w:pStyle w:val="Lijstalinea"/>
              <w:numPr>
                <w:ilvl w:val="0"/>
                <w:numId w:val="13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F487E">
              <w:rPr>
                <w:rFonts w:ascii="Arial" w:hAnsi="Arial" w:cs="Arial"/>
                <w:sz w:val="20"/>
                <w:szCs w:val="20"/>
                <w:lang w:val="fr-FR"/>
              </w:rPr>
              <w:t>Autonomie</w:t>
            </w:r>
          </w:p>
          <w:p w14:paraId="337452F0" w14:textId="77777777" w:rsidR="00CA41C1" w:rsidRPr="004F487E" w:rsidRDefault="00CA41C1" w:rsidP="00CA41C1">
            <w:pPr>
              <w:pStyle w:val="Lijstalinea"/>
              <w:numPr>
                <w:ilvl w:val="0"/>
                <w:numId w:val="13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F487E">
              <w:rPr>
                <w:rFonts w:ascii="Arial" w:hAnsi="Arial" w:cs="Arial"/>
                <w:sz w:val="20"/>
                <w:szCs w:val="20"/>
                <w:lang w:val="fr-FR"/>
              </w:rPr>
              <w:t>Situations et conditions de travail</w:t>
            </w:r>
          </w:p>
          <w:p w14:paraId="109E884C" w14:textId="77777777" w:rsidR="00CA41C1" w:rsidRPr="004F487E" w:rsidRDefault="00CA41C1" w:rsidP="00CA41C1">
            <w:pPr>
              <w:pStyle w:val="Lijstalinea"/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CDF8D8C" w14:textId="77777777" w:rsidR="00CA41C1" w:rsidRPr="004F487E" w:rsidRDefault="00CA41C1" w:rsidP="00CA41C1">
            <w:pPr>
              <w:jc w:val="both"/>
              <w:outlineLvl w:val="0"/>
              <w:rPr>
                <w:sz w:val="20"/>
                <w:szCs w:val="20"/>
                <w:lang w:val="fr-FR"/>
              </w:rPr>
            </w:pPr>
            <w:r w:rsidRPr="004F487E">
              <w:rPr>
                <w:sz w:val="20"/>
                <w:szCs w:val="20"/>
                <w:lang w:val="fr-FR"/>
              </w:rPr>
              <w:t xml:space="preserve">est disponible dans la description de fonction connexe ou selon les dispositions de l’arrêté royal du 19 avril 2014 relatif au statut du personnel opérationnel des zones de secours. </w:t>
            </w:r>
          </w:p>
          <w:p w14:paraId="6782CC8F" w14:textId="77777777" w:rsidR="00F10697" w:rsidRDefault="00F10697" w:rsidP="00F10697">
            <w:pPr>
              <w:ind w:left="720"/>
              <w:rPr>
                <w:rFonts w:cs="Arial"/>
                <w:sz w:val="20"/>
                <w:szCs w:val="20"/>
                <w:lang w:val="fr-FR"/>
              </w:rPr>
            </w:pPr>
          </w:p>
          <w:p w14:paraId="174607B5" w14:textId="77777777" w:rsidR="00C838F8" w:rsidRPr="004F487E" w:rsidRDefault="00C838F8" w:rsidP="00F10697">
            <w:pPr>
              <w:ind w:left="720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F10697" w:rsidRPr="00EF72CE" w14:paraId="104A0ED6" w14:textId="77777777" w:rsidTr="00F10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36" w:type="dxa"/>
          </w:tcPr>
          <w:p w14:paraId="157E5E2B" w14:textId="77777777" w:rsidR="00F10697" w:rsidRPr="004F487E" w:rsidRDefault="00F10697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4F487E">
              <w:rPr>
                <w:b/>
                <w:color w:val="0000FF"/>
                <w:sz w:val="20"/>
                <w:szCs w:val="20"/>
                <w:lang w:val="fr-FR"/>
              </w:rPr>
              <w:t>Situations et conditions de travail</w:t>
            </w:r>
          </w:p>
          <w:p w14:paraId="2BEF47F4" w14:textId="77777777" w:rsidR="00F10697" w:rsidRPr="004F487E" w:rsidRDefault="00F10697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2241" w:type="dxa"/>
          </w:tcPr>
          <w:p w14:paraId="15A81530" w14:textId="77777777" w:rsidR="00F10697" w:rsidRPr="00B261A5" w:rsidRDefault="00F10697" w:rsidP="005665D9">
            <w:pPr>
              <w:rPr>
                <w:sz w:val="20"/>
                <w:szCs w:val="20"/>
                <w:lang w:val="fr-FR"/>
              </w:rPr>
            </w:pPr>
          </w:p>
          <w:p w14:paraId="6C419918" w14:textId="77777777" w:rsidR="00F10697" w:rsidRPr="00B261A5" w:rsidRDefault="00F10697" w:rsidP="005665D9">
            <w:pPr>
              <w:rPr>
                <w:sz w:val="20"/>
                <w:szCs w:val="20"/>
                <w:lang w:val="fr-FR"/>
              </w:rPr>
            </w:pPr>
            <w:r w:rsidRPr="00B261A5">
              <w:rPr>
                <w:sz w:val="20"/>
                <w:szCs w:val="20"/>
                <w:lang w:val="fr-FR"/>
              </w:rPr>
              <w:t>Diplôme</w:t>
            </w:r>
          </w:p>
          <w:p w14:paraId="2B9B1293" w14:textId="77777777" w:rsidR="00F10697" w:rsidRPr="00B261A5" w:rsidRDefault="00F10697" w:rsidP="005665D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305" w:type="dxa"/>
          </w:tcPr>
          <w:p w14:paraId="772457C2" w14:textId="77777777" w:rsidR="00F10697" w:rsidRPr="00B261A5" w:rsidRDefault="00F10697" w:rsidP="005665D9">
            <w:pPr>
              <w:rPr>
                <w:sz w:val="20"/>
                <w:szCs w:val="20"/>
                <w:lang w:val="fr-FR"/>
              </w:rPr>
            </w:pPr>
          </w:p>
          <w:p w14:paraId="28D3BFD9" w14:textId="77777777" w:rsidR="00F10697" w:rsidRDefault="00EF72CE" w:rsidP="005665D9">
            <w:pPr>
              <w:rPr>
                <w:sz w:val="20"/>
                <w:szCs w:val="20"/>
                <w:lang w:val="fr-FR"/>
              </w:rPr>
            </w:pPr>
            <w:r w:rsidRPr="00EF72CE">
              <w:rPr>
                <w:sz w:val="20"/>
                <w:szCs w:val="20"/>
                <w:lang w:val="fr-FR"/>
              </w:rPr>
              <w:t xml:space="preserve">Obtention et maintien du certificat FOROP-2 selon l’AM du 5 avril 2019 relatif à la formation et au certificat FOROP-1 et FOROP-2 pour les membres des services publics de secours </w:t>
            </w:r>
          </w:p>
          <w:p w14:paraId="7E57FB21" w14:textId="7265073E" w:rsidR="00EF72CE" w:rsidRPr="00B261A5" w:rsidRDefault="00EF72CE" w:rsidP="005665D9">
            <w:pPr>
              <w:rPr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</w:tr>
    </w:tbl>
    <w:p w14:paraId="0427E650" w14:textId="77777777" w:rsidR="00D00667" w:rsidRPr="004F487E" w:rsidRDefault="00D00667">
      <w:pPr>
        <w:rPr>
          <w:lang w:val="fr-FR"/>
        </w:rPr>
      </w:pPr>
    </w:p>
    <w:p w14:paraId="09BB31E1" w14:textId="77777777" w:rsidR="00F10697" w:rsidRPr="004F487E" w:rsidRDefault="00F10697">
      <w:pPr>
        <w:rPr>
          <w:lang w:val="fr-FR"/>
        </w:rPr>
      </w:pPr>
    </w:p>
    <w:p w14:paraId="6D753BA9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4F487E">
        <w:rPr>
          <w:rFonts w:ascii="Univers" w:eastAsia="Times New Roman" w:hAnsi="Univers"/>
          <w:color w:val="000000"/>
          <w:lang w:val="fr-FR" w:eastAsia="fr-BE"/>
        </w:rPr>
        <w:t>Vu pour être annexé à l’arrêté du … fixant les descriptions de fonction du personnel opérationnel des zones de secours</w:t>
      </w:r>
    </w:p>
    <w:p w14:paraId="457EA1B4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260E5208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0E6DB601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21EC0793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76EB699E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403FBCB9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6837D574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4104B196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6C1D974A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</w:p>
    <w:p w14:paraId="4641DCE1" w14:textId="77777777" w:rsidR="00F10697" w:rsidRPr="004F487E" w:rsidRDefault="00F10697" w:rsidP="00F10697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4F487E">
        <w:rPr>
          <w:rFonts w:ascii="Univers" w:eastAsia="Times New Roman" w:hAnsi="Univers"/>
          <w:color w:val="000000"/>
          <w:lang w:val="fr-FR" w:eastAsia="fr-BE"/>
        </w:rPr>
        <w:t>Jan JAMBON</w:t>
      </w:r>
    </w:p>
    <w:p w14:paraId="67C38C43" w14:textId="77777777" w:rsidR="00F10697" w:rsidRPr="004F487E" w:rsidRDefault="00F10697" w:rsidP="00F10697">
      <w:pPr>
        <w:rPr>
          <w:lang w:val="fr-FR"/>
        </w:rPr>
      </w:pPr>
    </w:p>
    <w:p w14:paraId="53E8CF17" w14:textId="77777777" w:rsidR="00F10697" w:rsidRPr="004F487E" w:rsidRDefault="00F10697">
      <w:pPr>
        <w:rPr>
          <w:lang w:val="fr-FR"/>
        </w:rPr>
      </w:pPr>
    </w:p>
    <w:sectPr w:rsidR="00F10697" w:rsidRPr="004F487E" w:rsidSect="001F40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3CDE0" w14:textId="77777777" w:rsidR="00D56C86" w:rsidRDefault="00D56C86" w:rsidP="008F4853">
      <w:r>
        <w:separator/>
      </w:r>
    </w:p>
  </w:endnote>
  <w:endnote w:type="continuationSeparator" w:id="0">
    <w:p w14:paraId="234A844D" w14:textId="77777777" w:rsidR="00D56C86" w:rsidRDefault="00D56C86" w:rsidP="008F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89E46" w14:textId="77777777" w:rsidR="00D56C86" w:rsidRDefault="00D56C86" w:rsidP="008F4853">
      <w:r>
        <w:separator/>
      </w:r>
    </w:p>
  </w:footnote>
  <w:footnote w:type="continuationSeparator" w:id="0">
    <w:p w14:paraId="7A9CAB57" w14:textId="77777777" w:rsidR="00D56C86" w:rsidRDefault="00D56C86" w:rsidP="008F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007C"/>
    <w:multiLevelType w:val="hybridMultilevel"/>
    <w:tmpl w:val="9D9CFDBA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01E5"/>
    <w:multiLevelType w:val="hybridMultilevel"/>
    <w:tmpl w:val="D8EA291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517E"/>
    <w:multiLevelType w:val="hybridMultilevel"/>
    <w:tmpl w:val="1546A5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66D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B62C4"/>
    <w:multiLevelType w:val="hybridMultilevel"/>
    <w:tmpl w:val="944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F2DB5"/>
    <w:multiLevelType w:val="hybridMultilevel"/>
    <w:tmpl w:val="A984A442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482"/>
    <w:multiLevelType w:val="hybridMultilevel"/>
    <w:tmpl w:val="141857F6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C31A5"/>
    <w:multiLevelType w:val="hybridMultilevel"/>
    <w:tmpl w:val="ED684A0A"/>
    <w:lvl w:ilvl="0" w:tplc="E370C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C6DBE"/>
    <w:multiLevelType w:val="hybridMultilevel"/>
    <w:tmpl w:val="C658C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244B"/>
    <w:multiLevelType w:val="hybridMultilevel"/>
    <w:tmpl w:val="0050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C4170"/>
    <w:multiLevelType w:val="hybridMultilevel"/>
    <w:tmpl w:val="3766BC82"/>
    <w:lvl w:ilvl="0" w:tplc="AB8EE1C6">
      <w:start w:val="1"/>
      <w:numFmt w:val="bullet"/>
      <w:lvlText w:val="-"/>
      <w:lvlJc w:val="left"/>
      <w:pPr>
        <w:ind w:left="720" w:hanging="360"/>
      </w:pPr>
      <w:rPr>
        <w:rFonts w:ascii="Eurostile" w:eastAsiaTheme="minorEastAsia" w:hAnsi="Eurosti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01A95"/>
    <w:multiLevelType w:val="hybridMultilevel"/>
    <w:tmpl w:val="6DB8B5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DB70AE"/>
    <w:multiLevelType w:val="hybridMultilevel"/>
    <w:tmpl w:val="3018924E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E5E7C"/>
    <w:multiLevelType w:val="hybridMultilevel"/>
    <w:tmpl w:val="12327372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50A63"/>
    <w:multiLevelType w:val="hybridMultilevel"/>
    <w:tmpl w:val="7122A16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81"/>
    <w:rsid w:val="000021EE"/>
    <w:rsid w:val="00053B43"/>
    <w:rsid w:val="0009645F"/>
    <w:rsid w:val="000A17F3"/>
    <w:rsid w:val="001056C5"/>
    <w:rsid w:val="00120775"/>
    <w:rsid w:val="00173F40"/>
    <w:rsid w:val="0018148C"/>
    <w:rsid w:val="0019545C"/>
    <w:rsid w:val="001E3D90"/>
    <w:rsid w:val="001F4078"/>
    <w:rsid w:val="00207801"/>
    <w:rsid w:val="0025238A"/>
    <w:rsid w:val="00257105"/>
    <w:rsid w:val="002778AB"/>
    <w:rsid w:val="002A1481"/>
    <w:rsid w:val="002A4B21"/>
    <w:rsid w:val="002B0B2F"/>
    <w:rsid w:val="002E2541"/>
    <w:rsid w:val="002F788C"/>
    <w:rsid w:val="003011BD"/>
    <w:rsid w:val="003042AE"/>
    <w:rsid w:val="0030732F"/>
    <w:rsid w:val="003153B4"/>
    <w:rsid w:val="00365E65"/>
    <w:rsid w:val="003A1EF8"/>
    <w:rsid w:val="003E37F1"/>
    <w:rsid w:val="003F21A2"/>
    <w:rsid w:val="003F5121"/>
    <w:rsid w:val="003F650E"/>
    <w:rsid w:val="0044093E"/>
    <w:rsid w:val="004459BF"/>
    <w:rsid w:val="0047519F"/>
    <w:rsid w:val="0049532B"/>
    <w:rsid w:val="004F487E"/>
    <w:rsid w:val="004F6202"/>
    <w:rsid w:val="00536581"/>
    <w:rsid w:val="005412B9"/>
    <w:rsid w:val="00590E17"/>
    <w:rsid w:val="005C2109"/>
    <w:rsid w:val="005D4B65"/>
    <w:rsid w:val="005E0357"/>
    <w:rsid w:val="00625DDB"/>
    <w:rsid w:val="006853D8"/>
    <w:rsid w:val="00694D86"/>
    <w:rsid w:val="006B5689"/>
    <w:rsid w:val="006F32D4"/>
    <w:rsid w:val="006F4325"/>
    <w:rsid w:val="00700A19"/>
    <w:rsid w:val="007212CD"/>
    <w:rsid w:val="007212D0"/>
    <w:rsid w:val="0077363E"/>
    <w:rsid w:val="00781534"/>
    <w:rsid w:val="00791761"/>
    <w:rsid w:val="007957F8"/>
    <w:rsid w:val="007B11A0"/>
    <w:rsid w:val="007E5DA7"/>
    <w:rsid w:val="00803600"/>
    <w:rsid w:val="00807C65"/>
    <w:rsid w:val="00864248"/>
    <w:rsid w:val="00897066"/>
    <w:rsid w:val="008E42C8"/>
    <w:rsid w:val="008F4853"/>
    <w:rsid w:val="009042CB"/>
    <w:rsid w:val="0091235C"/>
    <w:rsid w:val="009A0481"/>
    <w:rsid w:val="00A73B74"/>
    <w:rsid w:val="00A919E7"/>
    <w:rsid w:val="00A92634"/>
    <w:rsid w:val="00AA3044"/>
    <w:rsid w:val="00AB618B"/>
    <w:rsid w:val="00AC13D0"/>
    <w:rsid w:val="00AF3B9F"/>
    <w:rsid w:val="00B00218"/>
    <w:rsid w:val="00B261A5"/>
    <w:rsid w:val="00B42EF4"/>
    <w:rsid w:val="00B43BEC"/>
    <w:rsid w:val="00B542C9"/>
    <w:rsid w:val="00C1200D"/>
    <w:rsid w:val="00C20776"/>
    <w:rsid w:val="00C50B21"/>
    <w:rsid w:val="00C838F8"/>
    <w:rsid w:val="00C906C3"/>
    <w:rsid w:val="00CA41C1"/>
    <w:rsid w:val="00CB1451"/>
    <w:rsid w:val="00D00667"/>
    <w:rsid w:val="00D03E55"/>
    <w:rsid w:val="00D12987"/>
    <w:rsid w:val="00D5461C"/>
    <w:rsid w:val="00D56C86"/>
    <w:rsid w:val="00D87742"/>
    <w:rsid w:val="00DB2121"/>
    <w:rsid w:val="00DB3245"/>
    <w:rsid w:val="00DD7CBC"/>
    <w:rsid w:val="00E17EBD"/>
    <w:rsid w:val="00E3232B"/>
    <w:rsid w:val="00E33AD0"/>
    <w:rsid w:val="00E375DE"/>
    <w:rsid w:val="00E471BE"/>
    <w:rsid w:val="00E6149C"/>
    <w:rsid w:val="00E631FE"/>
    <w:rsid w:val="00ED13A7"/>
    <w:rsid w:val="00EF459E"/>
    <w:rsid w:val="00EF72CE"/>
    <w:rsid w:val="00F04A10"/>
    <w:rsid w:val="00F10697"/>
    <w:rsid w:val="00F25F10"/>
    <w:rsid w:val="00F3261D"/>
    <w:rsid w:val="00F62433"/>
    <w:rsid w:val="00F9442E"/>
    <w:rsid w:val="00F96D5C"/>
    <w:rsid w:val="00FB1A56"/>
    <w:rsid w:val="00FD1219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A992624"/>
  <w15:docId w15:val="{F595B3DD-4173-4C6F-966B-1B995C5B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07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077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0775"/>
    <w:rPr>
      <w:rFonts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07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0775"/>
    <w:rPr>
      <w:rFonts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77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77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rdoc" ma:contentTypeID="0x010100AF8FFE35AADB574A956AB2FBEF841F1600892F220FD5D600469C422D4B3D19A145" ma:contentTypeVersion="10" ma:contentTypeDescription="" ma:contentTypeScope="" ma:versionID="cbf190cec4983decf0c70b6f826b1d3c">
  <xsd:schema xmlns:xsd="http://www.w3.org/2001/XMLSchema" xmlns:xs="http://www.w3.org/2001/XMLSchema" xmlns:p="http://schemas.microsoft.com/office/2006/metadata/properties" xmlns:ns1="http://schemas.microsoft.com/sharepoint/v3" xmlns:ns2="d6e05fb4-4ff7-45e7-9d0d-b9f3e278ffe2" targetNamespace="http://schemas.microsoft.com/office/2006/metadata/properties" ma:root="true" ma:fieldsID="49fcaea13e010105e4c85ee3422873c9" ns1:_="" ns2:_="">
    <xsd:import namespace="http://schemas.microsoft.com/sharepoint/v3"/>
    <xsd:import namespace="d6e05fb4-4ff7-45e7-9d0d-b9f3e278ffe2"/>
    <xsd:element name="properties">
      <xsd:complexType>
        <xsd:sequence>
          <xsd:element name="documentManagement">
            <xsd:complexType>
              <xsd:all>
                <xsd:element ref="ns2:Catégorie" minOccurs="0"/>
                <xsd:element ref="ns2:Collaborateur" minOccurs="0"/>
                <xsd:element ref="ns2:sous-classement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05fb4-4ff7-45e7-9d0d-b9f3e278ffe2" elementFormDefault="qualified">
    <xsd:import namespace="http://schemas.microsoft.com/office/2006/documentManagement/types"/>
    <xsd:import namespace="http://schemas.microsoft.com/office/infopath/2007/PartnerControls"/>
    <xsd:element name="Catégorie" ma:index="8" nillable="true" ma:displayName="Catégorie - Categorie" ma:description="classification documents service juridique SC" ma:format="RadioButtons" ma:internalName="Cat_x00e9_gorie">
      <xsd:simpleType>
        <xsd:restriction base="dms:Choice">
          <xsd:enumeration value="Inspection - Inspectie"/>
          <xsd:enumeration value="Tutelle - Toezicht"/>
          <xsd:enumeration value="Avis juridique - Juridisch advies"/>
          <xsd:enumeration value="Projet réglementaire - Ontwerptekst"/>
          <xsd:enumeration value="Contentieux - Geschillen"/>
          <xsd:enumeration value="Question parlemenaire - Parlementaire Vraag"/>
          <xsd:enumeration value="Réforme - Hervorming"/>
        </xsd:restriction>
      </xsd:simpleType>
    </xsd:element>
    <xsd:element name="Collaborateur" ma:index="9" nillable="true" ma:displayName="Collaborateur - Dossierbehandelaar" ma:description="collaborateur en charge du dossier&#10;Dossierbehandelaar" ma:format="Dropdown" ma:internalName="Collaborateur">
      <xsd:simpleType>
        <xsd:restriction base="dms:Choice">
          <xsd:enumeration value="Bouckaert Joris"/>
          <xsd:enumeration value="Brisaert Ivo"/>
          <xsd:enumeration value="Callaerts Jurgen"/>
          <xsd:enumeration value="Claeys Mie-Katrien"/>
          <xsd:enumeration value="Coucke Sophie"/>
          <xsd:enumeration value="De schryver Sophie"/>
          <xsd:enumeration value="Heylen Peggy"/>
          <xsd:enumeration value="Heylenbosch Marc"/>
          <xsd:enumeration value="Lobet Sophie"/>
          <xsd:enumeration value="Simon Philippe"/>
          <xsd:enumeration value="Sran Vran"/>
          <xsd:enumeration value="Strobbe Eveline"/>
          <xsd:enumeration value="Trasschaert Heidi"/>
          <xsd:enumeration value="Turlot Vincent"/>
          <xsd:enumeration value="Wailliez Hugues"/>
          <xsd:enumeration value="Robiette Isabelle"/>
          <xsd:enumeration value="Tiels Jeannine"/>
        </xsd:restriction>
      </xsd:simpleType>
    </xsd:element>
    <xsd:element name="sous-classement" ma:index="10" nillable="true" ma:displayName="sous-classement" ma:description="Commune - Gemeente" ma:format="Dropdown" ma:internalName="sous_x002d_classement">
      <xsd:simpleType>
        <xsd:union memberTypes="dms:Text">
          <xsd:simpleType>
            <xsd:restriction base="dms:Choice">
              <xsd:enumeration value="Aalst"/>
              <xsd:enumeration value="Aalter"/>
              <xsd:enumeration value="Aarschot"/>
              <xsd:enumeration value="Amblève"/>
              <xsd:enumeration value="Andenne"/>
              <xsd:enumeration value="Antoing"/>
              <xsd:enumeration value="Antwerpen"/>
              <xsd:enumeration value="Anzegem"/>
              <xsd:enumeration value="Ardooie"/>
              <xsd:enumeration value="Arendonk"/>
              <xsd:enumeration value="Arlon"/>
              <xsd:enumeration value="Asse"/>
              <xsd:enumeration value="Assenede"/>
              <xsd:enumeration value="Ath"/>
              <xsd:enumeration value="Aubange"/>
              <xsd:enumeration value="Avelgem"/>
              <xsd:enumeration value="Aywaille"/>
              <xsd:enumeration value="Baarle-Hertog"/>
              <xsd:enumeration value="Balen"/>
              <xsd:enumeration value="Bastogne"/>
              <xsd:enumeration value="Beaumont"/>
              <xsd:enumeration value="Beauraing"/>
              <xsd:enumeration value="Beerse"/>
              <xsd:enumeration value="Beloeil"/>
              <xsd:enumeration value="Beringen"/>
              <xsd:enumeration value="Berlaar"/>
              <xsd:enumeration value="Berlare"/>
              <xsd:enumeration value="Bernissart"/>
              <xsd:enumeration value="Bertrix"/>
              <xsd:enumeration value="Beveren"/>
              <xsd:enumeration value="Bilzen"/>
              <xsd:enumeration value="Binche"/>
              <xsd:enumeration value="Blankenberge"/>
              <xsd:enumeration value="Boom"/>
              <xsd:enumeration value="Bornem"/>
              <xsd:enumeration value="Borsbeek"/>
              <xsd:enumeration value="Bouillon"/>
              <xsd:enumeration value="Braine-l'Alleud"/>
              <xsd:enumeration value="Braine-Le-Comte"/>
              <xsd:enumeration value="Brakel"/>
              <xsd:enumeration value="Brasschaat"/>
              <xsd:enumeration value="Brecht"/>
              <xsd:enumeration value="Bree"/>
              <xsd:enumeration value="Brugge"/>
              <xsd:enumeration value="Brussel-Bruxelles"/>
              <xsd:enumeration value="Buggenhout"/>
              <xsd:enumeration value="Bullange"/>
              <xsd:enumeration value="Burg-Reuland"/>
              <xsd:enumeration value="Charleroi"/>
              <xsd:enumeration value="Chièvres"/>
              <xsd:enumeration value="Chimay"/>
              <xsd:enumeration value="Ciney"/>
              <xsd:enumeration value="Comines-Warneton"/>
              <xsd:enumeration value="Couvin"/>
              <xsd:enumeration value="De Haan"/>
              <xsd:enumeration value="De Panne"/>
              <xsd:enumeration value="Deerlijk"/>
              <xsd:enumeration value="Deinze"/>
              <xsd:enumeration value="Denderleeuw"/>
              <xsd:enumeration value="Dendermonde"/>
              <xsd:enumeration value="Diest"/>
              <xsd:enumeration value="Diksmuide"/>
              <xsd:enumeration value="Dinant"/>
              <xsd:enumeration value="Dour"/>
              <xsd:enumeration value="Duffel"/>
              <xsd:enumeration value="Edegem"/>
              <xsd:enumeration value="Eeklo"/>
              <xsd:enumeration value="Eghezée"/>
              <xsd:enumeration value="Enghien"/>
              <xsd:enumeration value="Erezée"/>
              <xsd:enumeration value="Essen"/>
              <xsd:enumeration value="Etalle"/>
              <xsd:enumeration value="Eupen"/>
              <xsd:enumeration value="Flémalle"/>
              <xsd:enumeration value="Fleurus"/>
              <xsd:enumeration value="Florennes"/>
              <xsd:enumeration value="Fosses-La-Ville"/>
              <xsd:enumeration value="Gavere"/>
              <xsd:enumeration value="Gedinne"/>
              <xsd:enumeration value="Geel"/>
              <xsd:enumeration value="Gembloux"/>
              <xsd:enumeration value="Genk"/>
              <xsd:enumeration value="Gent"/>
              <xsd:enumeration value="Geraardsbergen"/>
              <xsd:enumeration value="Gistel"/>
              <xsd:enumeration value="Grobbendonk"/>
              <xsd:enumeration value="Halle"/>
              <xsd:enumeration value="Hamme"/>
              <xsd:enumeration value="Hamoir"/>
              <xsd:enumeration value="Hannut"/>
              <xsd:enumeration value="Harelbeke"/>
              <xsd:enumeration value="Hasselt"/>
              <xsd:enumeration value="Heist-op-den-Berg"/>
              <xsd:enumeration value="Hemiksem"/>
              <xsd:enumeration value="Herentals"/>
              <xsd:enumeration value="Herenthout"/>
              <xsd:enumeration value="Herve"/>
              <xsd:enumeration value="Herzele"/>
              <xsd:enumeration value="Heusden-Zolder"/>
              <xsd:enumeration value="Heuvelland"/>
              <xsd:enumeration value="Hoeselt"/>
              <xsd:enumeration value="Hooglede"/>
              <xsd:enumeration value="Hoogstraten"/>
              <xsd:enumeration value="Houffalize"/>
              <xsd:enumeration value="Houthulst"/>
              <xsd:enumeration value="Huy"/>
              <xsd:enumeration value="Ieper"/>
              <xsd:enumeration value="Ingelmunster"/>
              <xsd:enumeration value="Izegem"/>
              <xsd:enumeration value="Jodoigne"/>
              <xsd:enumeration value="Kalmthout"/>
              <xsd:enumeration value="Kapellen"/>
              <xsd:enumeration value="Kaprijke"/>
              <xsd:enumeration value="Kasterlee"/>
              <xsd:enumeration value="Kluisbergen"/>
              <xsd:enumeration value="Knokke-Heist"/>
              <xsd:enumeration value="Koekelare"/>
              <xsd:enumeration value="Koksijde"/>
              <xsd:enumeration value="Kontich"/>
              <xsd:enumeration value="Kortemark"/>
              <xsd:enumeration value="Kortrijk"/>
              <xsd:enumeration value="Kruibeke"/>
              <xsd:enumeration value="Kruishoutem"/>
              <xsd:enumeration value="Kuurne"/>
              <xsd:enumeration value="La Calamine"/>
              <xsd:enumeration value="La Louvière"/>
              <xsd:enumeration value="Landen"/>
              <xsd:enumeration value="Langemark-Poelkapelle"/>
              <xsd:enumeration value="Lebbeke"/>
              <xsd:enumeration value="Lede"/>
              <xsd:enumeration value="Ledegem"/>
              <xsd:enumeration value="Lendelede"/>
              <xsd:enumeration value="Lennik"/>
              <xsd:enumeration value="Leopoldsburg"/>
              <xsd:enumeration value="Lessines"/>
              <xsd:enumeration value="Leuven"/>
              <xsd:enumeration value="Leuze-en-Hainaut"/>
              <xsd:enumeration value="Lichtervelde"/>
              <xsd:enumeration value="Liège"/>
              <xsd:enumeration value="Lier"/>
              <xsd:enumeration value="Limbourg"/>
              <xsd:enumeration value="Lochristi"/>
              <xsd:enumeration value="Lokeren"/>
              <xsd:enumeration value="Lommel"/>
              <xsd:enumeration value="Londerzeel"/>
              <xsd:enumeration value="Lontzen-Herbesthal"/>
              <xsd:enumeration value="Lo-Reninge"/>
              <xsd:enumeration value="Maaseik"/>
              <xsd:enumeration value="Maasmechelen"/>
              <xsd:enumeration value="Maldegem"/>
              <xsd:enumeration value="Malle"/>
              <xsd:enumeration value="Malmedy"/>
              <xsd:enumeration value="Marche-en-Famenne"/>
              <xsd:enumeration value="Mechelen"/>
              <xsd:enumeration value="Melle"/>
              <xsd:enumeration value="Menen"/>
              <xsd:enumeration value="Merelbeke"/>
              <xsd:enumeration value="Merksplas"/>
              <xsd:enumeration value="Mesen"/>
              <xsd:enumeration value="Meulebeke"/>
              <xsd:enumeration value="Middelkerke"/>
              <xsd:enumeration value="Mol"/>
              <xsd:enumeration value="Mons"/>
              <xsd:enumeration value="Moorslede"/>
              <xsd:enumeration value="Mouscron"/>
              <xsd:enumeration value="Namur"/>
              <xsd:enumeration value="Neufchâteau"/>
              <xsd:enumeration value="Nevele"/>
              <xsd:enumeration value="Niel"/>
              <xsd:enumeration value="Nieuwpoort"/>
              <xsd:enumeration value="Nijlen"/>
              <xsd:enumeration value="Ninove"/>
              <xsd:enumeration value="Nivelles"/>
              <xsd:enumeration value="Oostende"/>
              <xsd:enumeration value="Oostkamp"/>
              <xsd:enumeration value="Opwijk"/>
              <xsd:enumeration value="Oudenaarde"/>
              <xsd:enumeration value="Overijse"/>
              <xsd:enumeration value="Paliseul"/>
              <xsd:enumeration value="Pépinster"/>
              <xsd:enumeration value="Péruwelz"/>
              <xsd:enumeration value="Philippeville"/>
              <xsd:enumeration value="Pittem"/>
              <xsd:enumeration value="Plombières"/>
              <xsd:enumeration value="Poperinge"/>
              <xsd:enumeration value="Putte"/>
              <xsd:enumeration value="Puurs"/>
              <xsd:enumeration value="Quiévrain"/>
              <xsd:enumeration value="Ravels"/>
              <xsd:enumeration value="Rijkevorsel"/>
              <xsd:enumeration value="Rochefort"/>
              <xsd:enumeration value="Roeselare"/>
              <xsd:enumeration value="Ronse"/>
              <xsd:enumeration value="Ruiselede"/>
              <xsd:enumeration value="Saint-Ghislain"/>
              <xsd:enumeration value="Saint-Hubert"/>
              <xsd:enumeration value="Saint-Vith"/>
              <xsd:enumeration value="Sambreville"/>
              <xsd:enumeration value="Scherpenheuvel-Zichem"/>
              <xsd:enumeration value="Schoten"/>
              <xsd:enumeration value="Sint-Gillis-Waas"/>
              <xsd:enumeration value="Sint-Niklaas"/>
              <xsd:enumeration value="Sint-Truiden"/>
              <xsd:enumeration value="Soignies"/>
              <xsd:enumeration value="Spa"/>
              <xsd:enumeration value="Staden"/>
              <xsd:enumeration value="Stavelot"/>
              <xsd:enumeration value="Stekene"/>
              <xsd:enumeration value="Temse"/>
              <xsd:enumeration value="Theux"/>
              <xsd:enumeration value="Thuin"/>
              <xsd:enumeration value="Tielt"/>
              <xsd:enumeration value="Tienen"/>
              <xsd:enumeration value="Tongeren"/>
              <xsd:enumeration value="Torhout"/>
              <xsd:enumeration value="Tournai"/>
              <xsd:enumeration value="Tubize"/>
              <xsd:enumeration value="Turnhout"/>
              <xsd:enumeration value="Verviers"/>
              <xsd:enumeration value="Veurne"/>
              <xsd:enumeration value="Vielsalm"/>
              <xsd:enumeration value="Vilvoorde"/>
              <xsd:enumeration value="Virton"/>
              <xsd:enumeration value="Vosselaar"/>
              <xsd:enumeration value="Vresse-sur-Semois"/>
              <xsd:enumeration value="Waarschoot"/>
              <xsd:enumeration value="Waasmunster"/>
              <xsd:enumeration value="Waimes"/>
              <xsd:enumeration value="Waregem"/>
              <xsd:enumeration value="Waremme"/>
              <xsd:enumeration value="Wavre"/>
              <xsd:enumeration value="Welkenraedt"/>
              <xsd:enumeration value="Wervik"/>
              <xsd:enumeration value="Westerlo"/>
              <xsd:enumeration value="Wetteren"/>
              <xsd:enumeration value="Wevelgem"/>
              <xsd:enumeration value="Wichelen"/>
              <xsd:enumeration value="Willebroek"/>
              <xsd:enumeration value="Wingene"/>
              <xsd:enumeration value="Wommelgem"/>
              <xsd:enumeration value="Wuustwezel"/>
              <xsd:enumeration value="Yvoir"/>
              <xsd:enumeration value="Zandhoven"/>
              <xsd:enumeration value="Zaventem"/>
              <xsd:enumeration value="Zele"/>
              <xsd:enumeration value="Zelzate"/>
              <xsd:enumeration value="Zoersel"/>
              <xsd:enumeration value="Zomergem"/>
              <xsd:enumeration value="Zonnebeke"/>
              <xsd:enumeration value="Zottegem"/>
              <xsd:enumeration value="Zwevegem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aborateur xmlns="d6e05fb4-4ff7-45e7-9d0d-b9f3e278ffe2" xsi:nil="true"/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sous-classement xmlns="d6e05fb4-4ff7-45e7-9d0d-b9f3e278ffe2" xsi:nil="true"/>
    <Catégorie xmlns="d6e05fb4-4ff7-45e7-9d0d-b9f3e278ffe2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66D38C-D787-4D5D-A613-AE615D6E484A}"/>
</file>

<file path=customXml/itemProps2.xml><?xml version="1.0" encoding="utf-8"?>
<ds:datastoreItem xmlns:ds="http://schemas.openxmlformats.org/officeDocument/2006/customXml" ds:itemID="{51E2115C-86C1-4E0F-9C79-52C7A5ABFC82}"/>
</file>

<file path=customXml/itemProps3.xml><?xml version="1.0" encoding="utf-8"?>
<ds:datastoreItem xmlns:ds="http://schemas.openxmlformats.org/officeDocument/2006/customXml" ds:itemID="{CFDD8306-C35D-4ABE-BF2E-FBC67777DD0D}"/>
</file>

<file path=customXml/itemProps4.xml><?xml version="1.0" encoding="utf-8"?>
<ds:datastoreItem xmlns:ds="http://schemas.openxmlformats.org/officeDocument/2006/customXml" ds:itemID="{33B22AF3-559C-4DEF-B8DE-998919B97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Brandweer Roeselare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Vangierdegom</dc:creator>
  <cp:lastModifiedBy>Brisaert Ivo</cp:lastModifiedBy>
  <cp:revision>2</cp:revision>
  <cp:lastPrinted>2014-06-03T08:34:00Z</cp:lastPrinted>
  <dcterms:created xsi:type="dcterms:W3CDTF">2021-01-22T09:15:00Z</dcterms:created>
  <dcterms:modified xsi:type="dcterms:W3CDTF">2021-01-22T09:15:00Z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0x010100AF8FFE35AADB574A956AB2FBEF841F1600892F220FD5D600469C422D4B3D19A145</vt:lpwstr>
  </property>
</Properties>
</file>