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09B82" w14:textId="15B8A51F" w:rsidR="00725B40" w:rsidRDefault="00725B40">
      <w:bookmarkStart w:id="0" w:name="_GoBack"/>
      <w:bookmarkEnd w:id="0"/>
      <w:r>
        <w:t>ANNEXE 23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739"/>
        <w:gridCol w:w="2036"/>
        <w:gridCol w:w="4507"/>
      </w:tblGrid>
      <w:tr w:rsidR="00BE0919" w:rsidRPr="003869A8" w14:paraId="54B00516" w14:textId="77777777" w:rsidTr="00725B40">
        <w:trPr>
          <w:trHeight w:val="367"/>
        </w:trPr>
        <w:tc>
          <w:tcPr>
            <w:tcW w:w="2739" w:type="dxa"/>
            <w:vMerge w:val="restart"/>
            <w:tcBorders>
              <w:right w:val="single" w:sz="4" w:space="0" w:color="auto"/>
            </w:tcBorders>
          </w:tcPr>
          <w:p w14:paraId="53293C41" w14:textId="5FC57EC2" w:rsidR="00BE0919" w:rsidRPr="003869A8" w:rsidRDefault="00BE0919" w:rsidP="00E1586B">
            <w:pPr>
              <w:rPr>
                <w:lang w:val="fr-FR"/>
              </w:rPr>
            </w:pPr>
          </w:p>
        </w:tc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F9725C" w14:textId="77777777" w:rsidR="00BE0919" w:rsidRPr="003869A8" w:rsidRDefault="00BE0919">
            <w:pPr>
              <w:rPr>
                <w:lang w:val="fr-FR"/>
              </w:rPr>
            </w:pPr>
          </w:p>
          <w:p w14:paraId="03AEC150" w14:textId="410E9EE6" w:rsidR="00BE0919" w:rsidRPr="003869A8" w:rsidRDefault="0048747C" w:rsidP="00BE0919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fr-FR"/>
              </w:rPr>
            </w:pPr>
            <w:r w:rsidRPr="003869A8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  <w:p w14:paraId="0F589746" w14:textId="77777777" w:rsidR="00BE0919" w:rsidRPr="003869A8" w:rsidRDefault="00BE0919">
            <w:pPr>
              <w:rPr>
                <w:lang w:val="fr-FR"/>
              </w:rPr>
            </w:pPr>
          </w:p>
        </w:tc>
      </w:tr>
      <w:tr w:rsidR="00BE0919" w:rsidRPr="003869A8" w14:paraId="476D3EF9" w14:textId="77777777" w:rsidTr="00725B40">
        <w:trPr>
          <w:trHeight w:val="366"/>
        </w:trPr>
        <w:tc>
          <w:tcPr>
            <w:tcW w:w="2739" w:type="dxa"/>
            <w:vMerge/>
            <w:tcBorders>
              <w:right w:val="single" w:sz="4" w:space="0" w:color="auto"/>
            </w:tcBorders>
          </w:tcPr>
          <w:p w14:paraId="0D8FBFFD" w14:textId="77777777" w:rsidR="00BE0919" w:rsidRPr="003869A8" w:rsidRDefault="00BE0919">
            <w:pPr>
              <w:rPr>
                <w:lang w:val="fr-FR"/>
              </w:rPr>
            </w:pPr>
          </w:p>
        </w:tc>
        <w:tc>
          <w:tcPr>
            <w:tcW w:w="6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37F9B" w14:textId="407B65FF" w:rsidR="00BE0919" w:rsidRPr="003869A8" w:rsidRDefault="0048747C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 w:rsidRPr="003869A8">
              <w:rPr>
                <w:b/>
                <w:color w:val="0000FF"/>
                <w:sz w:val="48"/>
                <w:szCs w:val="48"/>
                <w:lang w:val="fr-FR"/>
              </w:rPr>
              <w:t>Porteur de tenue anti-gaz</w:t>
            </w:r>
          </w:p>
          <w:p w14:paraId="5EC50568" w14:textId="77777777" w:rsidR="00BE0919" w:rsidRPr="003869A8" w:rsidRDefault="00BE0919">
            <w:pPr>
              <w:rPr>
                <w:lang w:val="fr-FR"/>
              </w:rPr>
            </w:pPr>
          </w:p>
        </w:tc>
      </w:tr>
      <w:tr w:rsidR="00BE0919" w:rsidRPr="00400EBE" w14:paraId="4BB4F2E1" w14:textId="77777777" w:rsidTr="00725B40">
        <w:tc>
          <w:tcPr>
            <w:tcW w:w="2739" w:type="dxa"/>
          </w:tcPr>
          <w:p w14:paraId="77D67A60" w14:textId="77777777" w:rsidR="00BE0919" w:rsidRPr="003869A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A21B081" w14:textId="77777777" w:rsidR="00BE0919" w:rsidRPr="003869A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97D39F9" w14:textId="77777777" w:rsidR="00BE0919" w:rsidRPr="003869A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54260210" w14:textId="77777777" w:rsidR="00BE0919" w:rsidRPr="003869A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579D6BF" w14:textId="77777777" w:rsidR="00BE0919" w:rsidRPr="003869A8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3" w:type="dxa"/>
            <w:gridSpan w:val="2"/>
            <w:tcBorders>
              <w:top w:val="single" w:sz="4" w:space="0" w:color="auto"/>
            </w:tcBorders>
          </w:tcPr>
          <w:p w14:paraId="1599C010" w14:textId="77777777" w:rsidR="00BE0919" w:rsidRPr="003869A8" w:rsidRDefault="00BE0919" w:rsidP="00725B40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45886393" w14:textId="43C56DC9" w:rsidR="00480BDD" w:rsidRPr="00E24073" w:rsidRDefault="00480BDD" w:rsidP="00480BDD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E24073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Cette fonction est </w:t>
            </w:r>
            <w:r w:rsidR="009E2F23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en principe </w:t>
            </w:r>
            <w:r w:rsidRPr="00E24073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associée à </w:t>
            </w:r>
            <w:r w:rsidR="00BB2836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une fonction du cadre de base ou du </w:t>
            </w:r>
            <w:r w:rsidRPr="00E24073">
              <w:rPr>
                <w:rFonts w:cs="Arial"/>
                <w:color w:val="000000"/>
                <w:sz w:val="20"/>
                <w:szCs w:val="20"/>
                <w:lang w:val="fr-FR"/>
              </w:rPr>
              <w:t>cadre moyen.</w:t>
            </w:r>
          </w:p>
          <w:p w14:paraId="41BAA96C" w14:textId="77777777" w:rsidR="00A7749D" w:rsidRPr="003869A8" w:rsidRDefault="00A7749D" w:rsidP="00725B40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3102720C" w14:textId="654A413E" w:rsidR="00A7749D" w:rsidRPr="003869A8" w:rsidRDefault="00A7749D" w:rsidP="00725B40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3869A8">
              <w:rPr>
                <w:rFonts w:cs="Arial"/>
                <w:color w:val="000000"/>
                <w:sz w:val="20"/>
                <w:szCs w:val="20"/>
                <w:lang w:val="fr-FR"/>
              </w:rPr>
              <w:t>La zone prévoit cette fonction en fonction de son analyse des risques.</w:t>
            </w:r>
          </w:p>
          <w:p w14:paraId="6E303D84" w14:textId="77777777" w:rsidR="00BE0919" w:rsidRPr="003869A8" w:rsidRDefault="00BE0919" w:rsidP="00A7749D">
            <w:pPr>
              <w:rPr>
                <w:sz w:val="20"/>
                <w:szCs w:val="20"/>
                <w:lang w:val="fr-FR"/>
              </w:rPr>
            </w:pPr>
          </w:p>
        </w:tc>
      </w:tr>
      <w:tr w:rsidR="00A7749D" w:rsidRPr="00400EBE" w14:paraId="50710453" w14:textId="77777777" w:rsidTr="00725B40">
        <w:tc>
          <w:tcPr>
            <w:tcW w:w="2739" w:type="dxa"/>
          </w:tcPr>
          <w:p w14:paraId="03E889FC" w14:textId="7A1801B1" w:rsidR="00A7749D" w:rsidRPr="003869A8" w:rsidRDefault="00A7749D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3869A8">
              <w:rPr>
                <w:b/>
                <w:color w:val="0000FF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6543" w:type="dxa"/>
            <w:gridSpan w:val="2"/>
            <w:tcBorders>
              <w:top w:val="single" w:sz="4" w:space="0" w:color="auto"/>
            </w:tcBorders>
          </w:tcPr>
          <w:p w14:paraId="0B0234D5" w14:textId="77777777" w:rsidR="00A7749D" w:rsidRPr="003869A8" w:rsidRDefault="00A7749D" w:rsidP="009A0481">
            <w:pPr>
              <w:rPr>
                <w:sz w:val="20"/>
                <w:szCs w:val="20"/>
                <w:lang w:val="fr-FR"/>
              </w:rPr>
            </w:pPr>
          </w:p>
          <w:p w14:paraId="2CF86615" w14:textId="57455F0B" w:rsidR="00A7749D" w:rsidRPr="003869A8" w:rsidRDefault="002E2904" w:rsidP="00287A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  <w:lang w:val="fr-FR"/>
              </w:rPr>
            </w:pPr>
            <w:r w:rsidRPr="003869A8">
              <w:rPr>
                <w:rFonts w:cs="Arial"/>
                <w:sz w:val="20"/>
                <w:szCs w:val="20"/>
                <w:lang w:val="fr-FR"/>
              </w:rPr>
              <w:t>Le porteur de tenue anti-gaz exerce ses activités dans le domaine de la lutte contre les accidents impliquant des substances dangereuses, selon des procédures fixes.</w:t>
            </w:r>
          </w:p>
        </w:tc>
      </w:tr>
      <w:tr w:rsidR="00A7749D" w:rsidRPr="00400EBE" w14:paraId="02F6D96F" w14:textId="77777777" w:rsidTr="00725B40">
        <w:tc>
          <w:tcPr>
            <w:tcW w:w="2739" w:type="dxa"/>
          </w:tcPr>
          <w:p w14:paraId="29C7CB44" w14:textId="77777777" w:rsidR="00A7749D" w:rsidRPr="003869A8" w:rsidRDefault="00A7749D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3869A8">
              <w:rPr>
                <w:b/>
                <w:color w:val="0000FF"/>
                <w:sz w:val="20"/>
                <w:szCs w:val="20"/>
                <w:lang w:val="fr-FR"/>
              </w:rPr>
              <w:t>Description</w:t>
            </w:r>
          </w:p>
          <w:p w14:paraId="70CDBB61" w14:textId="77777777" w:rsidR="00A7749D" w:rsidRPr="003869A8" w:rsidRDefault="00A7749D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B64F2A6" w14:textId="77777777" w:rsidR="00A7749D" w:rsidRPr="003869A8" w:rsidRDefault="00A7749D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3" w:type="dxa"/>
            <w:gridSpan w:val="2"/>
          </w:tcPr>
          <w:p w14:paraId="7ABDAA82" w14:textId="77777777" w:rsidR="00A7749D" w:rsidRPr="003869A8" w:rsidRDefault="00A7749D" w:rsidP="009A0481">
            <w:pPr>
              <w:rPr>
                <w:sz w:val="20"/>
                <w:szCs w:val="20"/>
                <w:lang w:val="fr-FR"/>
              </w:rPr>
            </w:pPr>
          </w:p>
          <w:p w14:paraId="1B5BFB1F" w14:textId="26A01267" w:rsidR="003869A8" w:rsidRDefault="003869A8" w:rsidP="00287A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>L'exécution d'interventions dans une tenue de protection spéciale et avec des moyens d'intervention spécifiques afin d'assurer des activités de sauvetage et des actes visant à limiter les dégâts dans des circonstances impliquant un risque vital direct à la suite de la libération d'une substance dangereuse.</w:t>
            </w:r>
          </w:p>
          <w:p w14:paraId="005B597C" w14:textId="315B94D8" w:rsidR="00F61A81" w:rsidRPr="003869A8" w:rsidRDefault="00F61A81" w:rsidP="00287A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fr-FR"/>
              </w:rPr>
            </w:pPr>
            <w:r w:rsidRPr="0061183C">
              <w:rPr>
                <w:rFonts w:cs="Arial"/>
                <w:sz w:val="20"/>
                <w:szCs w:val="20"/>
                <w:lang w:val="fr-FR"/>
              </w:rPr>
              <w:t>Le porteur de tenue anti-gaz effectue des missions données par le</w:t>
            </w:r>
            <w:r w:rsidR="00DE3545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DE3545" w:rsidRPr="00DE3545">
              <w:rPr>
                <w:rFonts w:cs="Arial"/>
                <w:sz w:val="20"/>
                <w:szCs w:val="20"/>
                <w:lang w:val="fr-FR"/>
              </w:rPr>
              <w:t>responsable de l’intervention</w:t>
            </w:r>
            <w:r w:rsidR="00DE3545">
              <w:rPr>
                <w:lang w:val="fr-BE"/>
              </w:rPr>
              <w:t> </w:t>
            </w:r>
            <w:r w:rsidRPr="0061183C">
              <w:rPr>
                <w:rFonts w:cs="Arial"/>
                <w:sz w:val="20"/>
                <w:szCs w:val="20"/>
                <w:lang w:val="fr-FR"/>
              </w:rPr>
              <w:t xml:space="preserve"> et notifie toujours les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A06FFA">
              <w:rPr>
                <w:rFonts w:cs="Arial"/>
                <w:sz w:val="20"/>
                <w:szCs w:val="20"/>
                <w:lang w:val="fr-FR"/>
              </w:rPr>
              <w:t>conclusions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à ce dernier. Si les circonstances l'exigent, il agit de sa propre initiative – sous la responsabilité du </w:t>
            </w:r>
            <w:r w:rsidR="0061183C">
              <w:rPr>
                <w:rFonts w:cs="Arial"/>
                <w:sz w:val="20"/>
                <w:szCs w:val="20"/>
                <w:lang w:val="fr-FR"/>
              </w:rPr>
              <w:t>dirigeant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de l'intervention.</w:t>
            </w:r>
          </w:p>
          <w:p w14:paraId="04E5E7B6" w14:textId="59869D80" w:rsidR="00A7749D" w:rsidRPr="00A06FFA" w:rsidRDefault="003C1C66" w:rsidP="00480BD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En tant que collaborateur d'une équipe de porteurs de tenues anti-gaz, il importe d'avoir un intérêt particulier pour les processus industriels et les substances dangereuses. Il est essentiel d'être conscient des dangers spécifiques et des actes sécurisés. Lors des actions de secours, </w:t>
            </w:r>
            <w:r w:rsidR="00480BDD">
              <w:rPr>
                <w:rFonts w:cs="Arial"/>
                <w:sz w:val="20"/>
                <w:szCs w:val="20"/>
                <w:lang w:val="fr-FR"/>
              </w:rPr>
              <w:t>le porteur de tenue anti-gaz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fait preuve de calme dans le cadre des techniques d'intervention spéciales et de l'utilisation des moyens permettant de combattre les incidents de manière contrôlée. </w:t>
            </w:r>
            <w:r w:rsidR="00480BDD">
              <w:rPr>
                <w:rFonts w:cs="Arial"/>
                <w:sz w:val="20"/>
                <w:szCs w:val="20"/>
                <w:lang w:val="fr-FR"/>
              </w:rPr>
              <w:t>Il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agi</w:t>
            </w:r>
            <w:r w:rsidR="00480BDD">
              <w:rPr>
                <w:rFonts w:cs="Arial"/>
                <w:sz w:val="20"/>
                <w:szCs w:val="20"/>
                <w:lang w:val="fr-FR"/>
              </w:rPr>
              <w:t>t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à ce niveau en équipe, avec précision et de manière structurée.</w:t>
            </w:r>
          </w:p>
        </w:tc>
      </w:tr>
      <w:tr w:rsidR="00A7749D" w:rsidRPr="00400EBE" w14:paraId="4409692D" w14:textId="77777777" w:rsidTr="00725B40">
        <w:tc>
          <w:tcPr>
            <w:tcW w:w="2739" w:type="dxa"/>
          </w:tcPr>
          <w:p w14:paraId="46DE9E83" w14:textId="7DDE0B31" w:rsidR="00A7749D" w:rsidRPr="003869A8" w:rsidRDefault="003746F4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>
              <w:rPr>
                <w:b/>
                <w:color w:val="0000FF"/>
                <w:sz w:val="20"/>
                <w:szCs w:val="20"/>
                <w:lang w:val="fr-FR"/>
              </w:rPr>
              <w:t>Tâches-clés et domaines</w:t>
            </w:r>
            <w:r w:rsidR="00D630B0">
              <w:rPr>
                <w:b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  <w:lang w:val="fr-FR"/>
              </w:rPr>
              <w:t>d’activité</w:t>
            </w:r>
          </w:p>
        </w:tc>
        <w:tc>
          <w:tcPr>
            <w:tcW w:w="6543" w:type="dxa"/>
            <w:gridSpan w:val="2"/>
          </w:tcPr>
          <w:p w14:paraId="6573DB5C" w14:textId="77777777" w:rsidR="00A7749D" w:rsidRPr="009F1C18" w:rsidRDefault="00A7749D" w:rsidP="00A66F68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6853819C" w14:textId="587B7832" w:rsidR="00A7749D" w:rsidRPr="009F1C18" w:rsidRDefault="00725B40" w:rsidP="00287A55">
            <w:pPr>
              <w:widowControl w:val="0"/>
              <w:autoSpaceDE w:val="0"/>
              <w:autoSpaceDN w:val="0"/>
              <w:adjustRightInd w:val="0"/>
              <w:ind w:left="346" w:hanging="357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9F1C18">
              <w:rPr>
                <w:rFonts w:cs="Arial"/>
                <w:b/>
                <w:bCs/>
                <w:sz w:val="20"/>
                <w:szCs w:val="20"/>
                <w:u w:val="single"/>
                <w:lang w:val="fr-FR"/>
              </w:rPr>
              <w:t>Porteur de tenue anti-gaz</w:t>
            </w:r>
          </w:p>
          <w:p w14:paraId="43E54852" w14:textId="77777777" w:rsidR="00480BDD" w:rsidRPr="009F1C18" w:rsidRDefault="00480BDD" w:rsidP="00480BD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</w:p>
          <w:p w14:paraId="1E524FAD" w14:textId="658BEBE3" w:rsidR="003C1C66" w:rsidRPr="009F1C18" w:rsidRDefault="003C1C66" w:rsidP="00480BD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Le porteur de tenue anti-gaz utilise efficacement et correctement les équipements de protection sélectionnés par</w:t>
            </w:r>
            <w:r w:rsidR="00DE3545" w:rsidRPr="009F1C18">
              <w:rPr>
                <w:rFonts w:cs="Arial"/>
                <w:sz w:val="20"/>
                <w:szCs w:val="20"/>
                <w:lang w:val="fr-FR"/>
              </w:rPr>
              <w:t xml:space="preserve"> le responsable de l’intervention</w:t>
            </w:r>
            <w:r w:rsidRPr="009F1C18">
              <w:rPr>
                <w:rFonts w:cs="Arial"/>
                <w:sz w:val="20"/>
                <w:szCs w:val="20"/>
                <w:lang w:val="fr-FR"/>
              </w:rPr>
              <w:t xml:space="preserve"> </w:t>
            </w:r>
            <w:r w:rsidR="0003361E" w:rsidRPr="009F1C18">
              <w:rPr>
                <w:rFonts w:cs="Arial"/>
                <w:sz w:val="20"/>
                <w:szCs w:val="20"/>
                <w:lang w:val="fr-FR"/>
              </w:rPr>
              <w:t>et les contrôle. Il procède, de manière sécurisée et selon des procédures fixes, à une reconnaissance avec un porteur de tenue anti-gaz. Il est à même d'utiliser et lire correctement les appareils de mesure.</w:t>
            </w:r>
            <w:r w:rsidR="00A7749D" w:rsidRPr="009F1C18">
              <w:rPr>
                <w:rFonts w:cs="Arial"/>
                <w:sz w:val="20"/>
                <w:szCs w:val="20"/>
                <w:lang w:val="fr-FR"/>
              </w:rPr>
              <w:t xml:space="preserve"> </w:t>
            </w:r>
          </w:p>
          <w:p w14:paraId="39D6F1AD" w14:textId="77777777" w:rsidR="003C1C66" w:rsidRPr="009F1C18" w:rsidRDefault="003C1C66" w:rsidP="00287A55">
            <w:pPr>
              <w:widowControl w:val="0"/>
              <w:autoSpaceDE w:val="0"/>
              <w:autoSpaceDN w:val="0"/>
              <w:adjustRightInd w:val="0"/>
              <w:ind w:left="346" w:hanging="85"/>
              <w:rPr>
                <w:rFonts w:cs="Arial"/>
                <w:sz w:val="20"/>
                <w:szCs w:val="20"/>
                <w:lang w:val="fr-FR"/>
              </w:rPr>
            </w:pPr>
          </w:p>
          <w:p w14:paraId="7D3869E4" w14:textId="5E5A19B1" w:rsidR="0003361E" w:rsidRPr="009F1C18" w:rsidRDefault="0003361E" w:rsidP="0003361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 xml:space="preserve">Le porteur de tenue anti-gaz </w:t>
            </w:r>
            <w:r w:rsidR="00A66290" w:rsidRPr="009F1C18">
              <w:rPr>
                <w:rFonts w:cs="Arial"/>
                <w:sz w:val="20"/>
                <w:szCs w:val="20"/>
                <w:lang w:val="fr-FR"/>
              </w:rPr>
              <w:t>sauv</w:t>
            </w:r>
            <w:r w:rsidR="005C5365" w:rsidRPr="009F1C18">
              <w:rPr>
                <w:rFonts w:cs="Arial"/>
                <w:sz w:val="20"/>
                <w:szCs w:val="20"/>
                <w:lang w:val="fr-FR"/>
              </w:rPr>
              <w:t xml:space="preserve">e des victimes dans différentes </w:t>
            </w:r>
            <w:r w:rsidR="00A66290" w:rsidRPr="009F1C18">
              <w:rPr>
                <w:rFonts w:cs="Arial"/>
                <w:sz w:val="20"/>
                <w:szCs w:val="20"/>
                <w:lang w:val="fr-FR"/>
              </w:rPr>
              <w:t xml:space="preserve">situations et </w:t>
            </w:r>
            <w:r w:rsidR="00ED12C5" w:rsidRPr="009F1C18">
              <w:rPr>
                <w:rFonts w:cs="Arial"/>
                <w:sz w:val="20"/>
                <w:szCs w:val="20"/>
                <w:lang w:val="fr-FR"/>
              </w:rPr>
              <w:t xml:space="preserve">prend des mesures pour </w:t>
            </w:r>
            <w:r w:rsidR="00861753" w:rsidRPr="009F1C18">
              <w:rPr>
                <w:rFonts w:cs="Arial"/>
                <w:sz w:val="20"/>
                <w:szCs w:val="20"/>
                <w:lang w:val="fr-FR"/>
              </w:rPr>
              <w:t xml:space="preserve">stabiliser le problème, en </w:t>
            </w:r>
            <w:r w:rsidR="00ED12C5" w:rsidRPr="009F1C18">
              <w:rPr>
                <w:rFonts w:cs="Arial"/>
                <w:sz w:val="20"/>
                <w:szCs w:val="20"/>
                <w:lang w:val="fr-FR"/>
              </w:rPr>
              <w:t>maîtriser l’origine et en limiter l</w:t>
            </w:r>
            <w:r w:rsidR="00A66290" w:rsidRPr="009F1C18">
              <w:rPr>
                <w:rFonts w:cs="Arial"/>
                <w:sz w:val="20"/>
                <w:szCs w:val="20"/>
                <w:lang w:val="fr-FR"/>
              </w:rPr>
              <w:t>es effets. Le porteur de tenue anti-gaz est à même de procéder à une décontamination d'urgen</w:t>
            </w:r>
            <w:r w:rsidR="003746F4" w:rsidRPr="009F1C18">
              <w:rPr>
                <w:rFonts w:cs="Arial"/>
                <w:sz w:val="20"/>
                <w:szCs w:val="20"/>
                <w:lang w:val="fr-FR"/>
              </w:rPr>
              <w:t>ce ou d'accorder une assistance.</w:t>
            </w:r>
          </w:p>
          <w:p w14:paraId="19704C9B" w14:textId="77777777" w:rsidR="003746F4" w:rsidRPr="009F1C18" w:rsidRDefault="003746F4" w:rsidP="0003361E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</w:p>
          <w:p w14:paraId="43A9C752" w14:textId="723CF6B7" w:rsidR="00A66290" w:rsidRPr="009F1C18" w:rsidRDefault="00A66290" w:rsidP="00480BDD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Le porteur de tenue anti-gaz</w:t>
            </w:r>
            <w:r w:rsidR="00CF656A" w:rsidRPr="009F1C18">
              <w:rPr>
                <w:rFonts w:cs="Arial"/>
                <w:sz w:val="20"/>
                <w:szCs w:val="20"/>
                <w:lang w:val="fr-FR"/>
              </w:rPr>
              <w:t xml:space="preserve"> prend en charge la procédure de décontamination et veille à une manipulation et un enregistrement </w:t>
            </w:r>
            <w:r w:rsidR="00CF656A" w:rsidRPr="009F1C18">
              <w:rPr>
                <w:rFonts w:cs="Arial"/>
                <w:sz w:val="20"/>
                <w:szCs w:val="20"/>
                <w:lang w:val="fr-FR"/>
              </w:rPr>
              <w:lastRenderedPageBreak/>
              <w:t>soigneux des moyens qu'ils utilisent. A l'issue de l'intervention, il participe avec les membres de l'équipe à l'entretien d'évaluation relatif à l'intervention.</w:t>
            </w:r>
          </w:p>
          <w:p w14:paraId="639B89F0" w14:textId="77777777" w:rsidR="00A7749D" w:rsidRPr="009F1C18" w:rsidRDefault="00A7749D" w:rsidP="00287A55">
            <w:pPr>
              <w:widowControl w:val="0"/>
              <w:autoSpaceDE w:val="0"/>
              <w:autoSpaceDN w:val="0"/>
              <w:adjustRightInd w:val="0"/>
              <w:ind w:left="346"/>
              <w:rPr>
                <w:rFonts w:cs="Arial"/>
                <w:sz w:val="20"/>
                <w:szCs w:val="20"/>
                <w:lang w:val="fr-FR"/>
              </w:rPr>
            </w:pPr>
          </w:p>
          <w:p w14:paraId="25ECD003" w14:textId="5E91FDC3" w:rsidR="00A7749D" w:rsidRPr="009F1C18" w:rsidRDefault="00CF656A" w:rsidP="00287A5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u w:val="single"/>
                <w:lang w:val="fr-FR"/>
              </w:rPr>
              <w:t>Tâches possibles</w:t>
            </w:r>
            <w:r w:rsidR="00A7749D" w:rsidRPr="009F1C18">
              <w:rPr>
                <w:rFonts w:cs="Arial"/>
                <w:sz w:val="20"/>
                <w:szCs w:val="20"/>
                <w:u w:val="single"/>
                <w:lang w:val="fr-FR"/>
              </w:rPr>
              <w:t xml:space="preserve"> (</w:t>
            </w:r>
            <w:r w:rsidRPr="009F1C18">
              <w:rPr>
                <w:rFonts w:cs="Arial"/>
                <w:sz w:val="20"/>
                <w:szCs w:val="20"/>
                <w:u w:val="single"/>
                <w:lang w:val="fr-FR"/>
              </w:rPr>
              <w:t>non limitatives</w:t>
            </w:r>
            <w:r w:rsidR="00A7749D" w:rsidRPr="009F1C18">
              <w:rPr>
                <w:rFonts w:cs="Arial"/>
                <w:sz w:val="20"/>
                <w:szCs w:val="20"/>
                <w:u w:val="single"/>
                <w:lang w:val="fr-FR"/>
              </w:rPr>
              <w:t>)</w:t>
            </w:r>
            <w:r w:rsidRPr="009F1C18">
              <w:rPr>
                <w:rFonts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="00A7749D" w:rsidRPr="009F1C18">
              <w:rPr>
                <w:rFonts w:cs="Arial"/>
                <w:sz w:val="20"/>
                <w:szCs w:val="20"/>
                <w:u w:val="single"/>
                <w:lang w:val="fr-FR"/>
              </w:rPr>
              <w:t>:</w:t>
            </w:r>
          </w:p>
          <w:p w14:paraId="3353D778" w14:textId="48CEAE13" w:rsidR="00EB7ACC" w:rsidRPr="009F1C18" w:rsidRDefault="00EB7ACC" w:rsidP="00287A55">
            <w:pPr>
              <w:widowControl w:val="0"/>
              <w:numPr>
                <w:ilvl w:val="0"/>
                <w:numId w:val="15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Colmater des fuites, recouvrir des flaques et nettoyer des produits potentiellement mortels après inhalation, ingestion ou toucher.</w:t>
            </w:r>
          </w:p>
          <w:p w14:paraId="665E9A73" w14:textId="34C0990F" w:rsidR="00EB7ACC" w:rsidRPr="009F1C18" w:rsidRDefault="00EB7ACC" w:rsidP="00287A55">
            <w:pPr>
              <w:widowControl w:val="0"/>
              <w:numPr>
                <w:ilvl w:val="0"/>
                <w:numId w:val="15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Conn</w:t>
            </w:r>
            <w:r w:rsidR="00A06FFA" w:rsidRPr="009F1C18">
              <w:rPr>
                <w:rFonts w:cs="Arial"/>
                <w:sz w:val="20"/>
                <w:szCs w:val="20"/>
                <w:lang w:val="fr-FR"/>
              </w:rPr>
              <w:t>aître les différents types d'EPI</w:t>
            </w:r>
            <w:r w:rsidRPr="009F1C18">
              <w:rPr>
                <w:rFonts w:cs="Arial"/>
                <w:sz w:val="20"/>
                <w:szCs w:val="20"/>
                <w:lang w:val="fr-FR"/>
              </w:rPr>
              <w:t xml:space="preserve"> et être à même de les utiliser de manière efficace et sécurisée.</w:t>
            </w:r>
          </w:p>
          <w:p w14:paraId="701DAF61" w14:textId="40212214" w:rsidR="00EB7ACC" w:rsidRPr="009F1C18" w:rsidRDefault="00EB7ACC" w:rsidP="00287A55">
            <w:pPr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Travailler avec du matériel spécialisé (explosifs, pompes résistant à l'acide, appareils de mesure, etc.)</w:t>
            </w:r>
            <w:r w:rsidR="00480BDD" w:rsidRPr="009F1C18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1A4C7A5C" w14:textId="52252192" w:rsidR="00EB7ACC" w:rsidRPr="009F1C18" w:rsidRDefault="00EB7ACC" w:rsidP="00287A55">
            <w:pPr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Nettoyer et contrôler les équipements de protection spécialisés</w:t>
            </w:r>
            <w:r w:rsidR="00480BDD" w:rsidRPr="009F1C18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78DFD342" w14:textId="7585C2BD" w:rsidR="00EB7ACC" w:rsidRPr="009F1C18" w:rsidRDefault="00EB7ACC" w:rsidP="00287A55">
            <w:pPr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>Suivre une formation et un recyclage afin de pouvoir intervenir à tout moment selon les derniers développements</w:t>
            </w:r>
            <w:r w:rsidR="00480BDD" w:rsidRPr="009F1C18">
              <w:rPr>
                <w:rFonts w:cs="Arial"/>
                <w:sz w:val="20"/>
                <w:szCs w:val="20"/>
                <w:lang w:val="fr-FR"/>
              </w:rPr>
              <w:t>.</w:t>
            </w:r>
          </w:p>
          <w:p w14:paraId="7B4E177A" w14:textId="166EDAFA" w:rsidR="00A82246" w:rsidRPr="009F1C18" w:rsidRDefault="0054081E" w:rsidP="00A82246">
            <w:pPr>
              <w:widowControl w:val="0"/>
              <w:numPr>
                <w:ilvl w:val="0"/>
                <w:numId w:val="1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cs="Arial"/>
                <w:sz w:val="20"/>
                <w:szCs w:val="20"/>
                <w:lang w:val="fr-FR"/>
              </w:rPr>
            </w:pPr>
            <w:r w:rsidRPr="009F1C18">
              <w:rPr>
                <w:rFonts w:cs="Arial"/>
                <w:sz w:val="20"/>
                <w:szCs w:val="20"/>
                <w:lang w:val="fr-FR"/>
              </w:rPr>
              <w:t xml:space="preserve">Mettre sur pied un champ de décontamination </w:t>
            </w:r>
          </w:p>
          <w:p w14:paraId="53A38A9C" w14:textId="03C9A5FE" w:rsidR="00A7749D" w:rsidRPr="009F1C18" w:rsidRDefault="00A7749D" w:rsidP="00287A55">
            <w:pPr>
              <w:outlineLvl w:val="0"/>
              <w:rPr>
                <w:rFonts w:cs="Arial"/>
                <w:sz w:val="20"/>
                <w:szCs w:val="20"/>
                <w:u w:val="single"/>
                <w:lang w:val="fr-FR"/>
              </w:rPr>
            </w:pPr>
          </w:p>
        </w:tc>
      </w:tr>
      <w:tr w:rsidR="00A7749D" w:rsidRPr="00400EBE" w14:paraId="4445A9E7" w14:textId="77777777" w:rsidTr="00725B40">
        <w:tc>
          <w:tcPr>
            <w:tcW w:w="2739" w:type="dxa"/>
          </w:tcPr>
          <w:p w14:paraId="0CD42F55" w14:textId="04379002" w:rsidR="00A7749D" w:rsidRPr="003869A8" w:rsidRDefault="00A7749D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0BB3CE41" w14:textId="6B8B6232" w:rsidR="00A7749D" w:rsidRPr="003869A8" w:rsidRDefault="00A7749D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3" w:type="dxa"/>
            <w:gridSpan w:val="2"/>
          </w:tcPr>
          <w:p w14:paraId="0BFC546E" w14:textId="77777777" w:rsidR="00A7749D" w:rsidRPr="009F1C18" w:rsidRDefault="00A7749D" w:rsidP="00D93787">
            <w:pPr>
              <w:rPr>
                <w:sz w:val="20"/>
                <w:szCs w:val="20"/>
                <w:lang w:val="fr-FR"/>
              </w:rPr>
            </w:pPr>
          </w:p>
          <w:p w14:paraId="45272705" w14:textId="77777777" w:rsidR="0061183C" w:rsidRPr="009F1C18" w:rsidRDefault="0061183C" w:rsidP="0061183C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9F1C18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14:paraId="0A10BCA4" w14:textId="77777777" w:rsidR="0061183C" w:rsidRPr="009F1C18" w:rsidRDefault="0061183C" w:rsidP="0061183C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F1C18">
              <w:rPr>
                <w:rFonts w:ascii="Arial" w:hAnsi="Arial" w:cs="Arial"/>
                <w:sz w:val="20"/>
                <w:szCs w:val="20"/>
                <w:lang w:val="fr-FR"/>
              </w:rPr>
              <w:t>Place dans l'organisation</w:t>
            </w:r>
          </w:p>
          <w:p w14:paraId="3F21A08B" w14:textId="77777777" w:rsidR="0061183C" w:rsidRPr="009F1C18" w:rsidRDefault="0061183C" w:rsidP="0061183C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F1C18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14:paraId="0818BA7C" w14:textId="77777777" w:rsidR="0061183C" w:rsidRPr="009F1C18" w:rsidRDefault="0061183C" w:rsidP="0061183C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F1C18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14:paraId="37B6CD30" w14:textId="77777777" w:rsidR="0061183C" w:rsidRPr="009F1C18" w:rsidRDefault="0061183C" w:rsidP="0061183C">
            <w:pPr>
              <w:pStyle w:val="Lijstalinea"/>
              <w:numPr>
                <w:ilvl w:val="0"/>
                <w:numId w:val="14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F1C18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14:paraId="7CE8A556" w14:textId="77777777" w:rsidR="00A7749D" w:rsidRPr="009F1C18" w:rsidRDefault="00A7749D" w:rsidP="00480BDD">
            <w:pPr>
              <w:jc w:val="center"/>
              <w:outlineLvl w:val="0"/>
              <w:rPr>
                <w:sz w:val="20"/>
                <w:szCs w:val="20"/>
                <w:lang w:val="fr-FR"/>
              </w:rPr>
            </w:pPr>
          </w:p>
          <w:p w14:paraId="041BDF50" w14:textId="77777777" w:rsidR="00480BDD" w:rsidRPr="009F1C18" w:rsidRDefault="00480BDD" w:rsidP="00480BDD">
            <w:pPr>
              <w:rPr>
                <w:sz w:val="20"/>
                <w:szCs w:val="20"/>
                <w:lang w:val="fr-FR"/>
              </w:rPr>
            </w:pPr>
            <w:r w:rsidRPr="009F1C18">
              <w:rPr>
                <w:sz w:val="20"/>
                <w:szCs w:val="20"/>
                <w:lang w:val="fr-FR"/>
              </w:rPr>
              <w:t xml:space="preserve">est disponible dans la description de fonction connexe ou selon les dispositions de l’arrêté royal du </w:t>
            </w:r>
            <w:r w:rsidRPr="009F1C18">
              <w:rPr>
                <w:rFonts w:cs="Arial"/>
                <w:sz w:val="20"/>
                <w:szCs w:val="20"/>
                <w:lang w:val="fr-FR"/>
              </w:rPr>
              <w:t>19 avril 2014 relatif au statut du personnel opérationnel des zones de secours.</w:t>
            </w:r>
            <w:r w:rsidRPr="009F1C18">
              <w:rPr>
                <w:sz w:val="20"/>
                <w:szCs w:val="20"/>
                <w:lang w:val="fr-FR"/>
              </w:rPr>
              <w:t xml:space="preserve"> </w:t>
            </w:r>
          </w:p>
          <w:p w14:paraId="1AF8579C" w14:textId="6CB7F40A" w:rsidR="00480BDD" w:rsidRPr="009F1C18" w:rsidRDefault="00480BDD" w:rsidP="00480BDD">
            <w:pPr>
              <w:jc w:val="center"/>
              <w:outlineLvl w:val="0"/>
              <w:rPr>
                <w:sz w:val="20"/>
                <w:szCs w:val="20"/>
                <w:lang w:val="fr-FR"/>
              </w:rPr>
            </w:pPr>
          </w:p>
        </w:tc>
      </w:tr>
      <w:tr w:rsidR="00480BDD" w:rsidRPr="00400EBE" w14:paraId="2F47C603" w14:textId="77777777" w:rsidTr="00480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39" w:type="dxa"/>
          </w:tcPr>
          <w:p w14:paraId="37F4A84E" w14:textId="77777777" w:rsidR="00480BDD" w:rsidRPr="005665D9" w:rsidRDefault="00480BDD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5665D9">
              <w:rPr>
                <w:b/>
                <w:color w:val="0000FF"/>
                <w:sz w:val="20"/>
                <w:szCs w:val="20"/>
                <w:lang w:val="fr-FR"/>
              </w:rPr>
              <w:t>Situations et conditions de travail</w:t>
            </w:r>
          </w:p>
          <w:p w14:paraId="3FE99266" w14:textId="77777777" w:rsidR="00480BDD" w:rsidRPr="005665D9" w:rsidRDefault="00480BDD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036" w:type="dxa"/>
          </w:tcPr>
          <w:p w14:paraId="7EA239A1" w14:textId="77777777" w:rsidR="00480BDD" w:rsidRPr="009F1C18" w:rsidRDefault="00480BDD" w:rsidP="005665D9">
            <w:pPr>
              <w:rPr>
                <w:sz w:val="20"/>
                <w:szCs w:val="20"/>
                <w:lang w:val="fr-FR"/>
              </w:rPr>
            </w:pPr>
          </w:p>
          <w:p w14:paraId="3089C8E1" w14:textId="77777777" w:rsidR="00480BDD" w:rsidRPr="009F1C18" w:rsidRDefault="00480BDD" w:rsidP="005665D9">
            <w:pPr>
              <w:rPr>
                <w:sz w:val="20"/>
                <w:szCs w:val="20"/>
                <w:lang w:val="fr-FR"/>
              </w:rPr>
            </w:pPr>
            <w:r w:rsidRPr="009F1C18">
              <w:rPr>
                <w:sz w:val="20"/>
                <w:szCs w:val="20"/>
                <w:lang w:val="fr-FR"/>
              </w:rPr>
              <w:t>Diplôme, brevet, certificat, …</w:t>
            </w:r>
          </w:p>
          <w:p w14:paraId="30EC2F17" w14:textId="77777777" w:rsidR="00480BDD" w:rsidRPr="009F1C18" w:rsidRDefault="00480BDD" w:rsidP="005665D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507" w:type="dxa"/>
          </w:tcPr>
          <w:p w14:paraId="6FD7468A" w14:textId="77777777" w:rsidR="00480BDD" w:rsidRPr="009F1C18" w:rsidRDefault="00480BDD" w:rsidP="005665D9">
            <w:pPr>
              <w:rPr>
                <w:sz w:val="20"/>
                <w:szCs w:val="20"/>
                <w:lang w:val="fr-FR"/>
              </w:rPr>
            </w:pPr>
          </w:p>
          <w:p w14:paraId="6F061F2D" w14:textId="43734389" w:rsidR="00480BDD" w:rsidRPr="009F1C18" w:rsidRDefault="00480BDD" w:rsidP="00480BDD">
            <w:pPr>
              <w:rPr>
                <w:sz w:val="20"/>
                <w:szCs w:val="20"/>
                <w:lang w:val="fr-FR"/>
              </w:rPr>
            </w:pPr>
            <w:r w:rsidRPr="009F1C18">
              <w:rPr>
                <w:sz w:val="20"/>
                <w:szCs w:val="20"/>
                <w:lang w:val="fr-FR"/>
              </w:rPr>
              <w:t xml:space="preserve">Obtention </w:t>
            </w:r>
            <w:r w:rsidR="00A4158C" w:rsidRPr="009F1C18">
              <w:rPr>
                <w:sz w:val="20"/>
                <w:szCs w:val="20"/>
                <w:lang w:val="fr-FR"/>
              </w:rPr>
              <w:t xml:space="preserve">et maintien </w:t>
            </w:r>
            <w:r w:rsidRPr="009F1C18">
              <w:rPr>
                <w:sz w:val="20"/>
                <w:szCs w:val="20"/>
                <w:lang w:val="fr-FR"/>
              </w:rPr>
              <w:t xml:space="preserve">du certificat </w:t>
            </w:r>
            <w:r w:rsidR="00D630B0" w:rsidRPr="009F1C18">
              <w:rPr>
                <w:sz w:val="20"/>
                <w:szCs w:val="20"/>
                <w:lang w:val="fr-FR"/>
              </w:rPr>
              <w:t xml:space="preserve">porteur de tenue anti-gaz </w:t>
            </w:r>
            <w:r w:rsidRPr="009F1C18">
              <w:rPr>
                <w:sz w:val="20"/>
                <w:szCs w:val="20"/>
                <w:lang w:val="fr-FR"/>
              </w:rPr>
              <w:t>selon l’AM du 22/11/2004</w:t>
            </w:r>
          </w:p>
          <w:p w14:paraId="58E6F4BC" w14:textId="77777777" w:rsidR="00480BDD" w:rsidRPr="009F1C18" w:rsidRDefault="00480BDD" w:rsidP="005665D9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451A2ABE" w14:textId="5E5E8F9A" w:rsidR="00EC4FE1" w:rsidRDefault="00EC4FE1">
      <w:pPr>
        <w:rPr>
          <w:lang w:val="fr-FR"/>
        </w:rPr>
      </w:pPr>
    </w:p>
    <w:p w14:paraId="10CD0ACF" w14:textId="77777777" w:rsidR="00480BDD" w:rsidRDefault="00480BDD">
      <w:pPr>
        <w:rPr>
          <w:lang w:val="fr-FR"/>
        </w:rPr>
      </w:pPr>
    </w:p>
    <w:p w14:paraId="565175E4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 xml:space="preserve">Vu pour être annexé à </w:t>
      </w:r>
      <w:r>
        <w:rPr>
          <w:rFonts w:ascii="Univers" w:eastAsia="Times New Roman" w:hAnsi="Univers"/>
          <w:color w:val="000000"/>
          <w:lang w:val="fr-FR" w:eastAsia="fr-BE"/>
        </w:rPr>
        <w:t>l’</w:t>
      </w:r>
      <w:r w:rsidRPr="007335DC">
        <w:rPr>
          <w:rFonts w:ascii="Univers" w:eastAsia="Times New Roman" w:hAnsi="Univers"/>
          <w:color w:val="000000"/>
          <w:lang w:val="fr-FR" w:eastAsia="fr-BE"/>
        </w:rPr>
        <w:t>arrêté du … fixant les descriptions de fonction du personnel opérationnel des zones de secours</w:t>
      </w:r>
    </w:p>
    <w:p w14:paraId="0E249C00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D815C41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6BD028D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C17CC5E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807F044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3992A6F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35FDB3F9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0EE3484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D619CB9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14:paraId="14C626D9" w14:textId="77777777" w:rsidR="00480BDD" w:rsidRPr="007335DC" w:rsidRDefault="00480BDD" w:rsidP="00480BDD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>Jan JAMBON</w:t>
      </w:r>
    </w:p>
    <w:p w14:paraId="397B9D61" w14:textId="77777777" w:rsidR="00480BDD" w:rsidRPr="003869A8" w:rsidRDefault="00480BDD">
      <w:pPr>
        <w:rPr>
          <w:lang w:val="fr-FR"/>
        </w:rPr>
      </w:pPr>
    </w:p>
    <w:sectPr w:rsidR="00480BDD" w:rsidRPr="003869A8" w:rsidSect="001F4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48752" w14:textId="77777777" w:rsidR="001A399D" w:rsidRDefault="001A399D" w:rsidP="008F4853">
      <w:r>
        <w:separator/>
      </w:r>
    </w:p>
  </w:endnote>
  <w:endnote w:type="continuationSeparator" w:id="0">
    <w:p w14:paraId="7D6B2FF9" w14:textId="77777777" w:rsidR="001A399D" w:rsidRDefault="001A399D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49D7D" w14:textId="77777777" w:rsidR="001A399D" w:rsidRDefault="001A399D" w:rsidP="008F4853">
      <w:r>
        <w:separator/>
      </w:r>
    </w:p>
  </w:footnote>
  <w:footnote w:type="continuationSeparator" w:id="0">
    <w:p w14:paraId="44C173D7" w14:textId="77777777" w:rsidR="001A399D" w:rsidRDefault="001A399D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8D347A"/>
    <w:multiLevelType w:val="multilevel"/>
    <w:tmpl w:val="E20E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5C85"/>
    <w:multiLevelType w:val="hybridMultilevel"/>
    <w:tmpl w:val="676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63C5A"/>
    <w:multiLevelType w:val="hybridMultilevel"/>
    <w:tmpl w:val="F8B28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3867CE"/>
    <w:multiLevelType w:val="hybridMultilevel"/>
    <w:tmpl w:val="24C86EA2"/>
    <w:lvl w:ilvl="0" w:tplc="AB8EE1C6">
      <w:start w:val="1"/>
      <w:numFmt w:val="bullet"/>
      <w:lvlText w:val="-"/>
      <w:lvlJc w:val="left"/>
      <w:pPr>
        <w:ind w:left="1080" w:hanging="360"/>
      </w:pPr>
      <w:rPr>
        <w:rFonts w:ascii="Eurostile" w:eastAsiaTheme="minorEastAsia" w:hAnsi="Eurosti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62C0E"/>
    <w:multiLevelType w:val="multilevel"/>
    <w:tmpl w:val="AC28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5193B"/>
    <w:multiLevelType w:val="hybridMultilevel"/>
    <w:tmpl w:val="63D8F586"/>
    <w:lvl w:ilvl="0" w:tplc="040C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6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2"/>
  </w:num>
  <w:num w:numId="9">
    <w:abstractNumId w:val="4"/>
  </w:num>
  <w:num w:numId="10">
    <w:abstractNumId w:val="14"/>
  </w:num>
  <w:num w:numId="11">
    <w:abstractNumId w:val="13"/>
  </w:num>
  <w:num w:numId="12">
    <w:abstractNumId w:val="1"/>
  </w:num>
  <w:num w:numId="13">
    <w:abstractNumId w:val="11"/>
  </w:num>
  <w:num w:numId="14">
    <w:abstractNumId w:val="8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3361E"/>
    <w:rsid w:val="000918D4"/>
    <w:rsid w:val="00137844"/>
    <w:rsid w:val="001621B2"/>
    <w:rsid w:val="001A399D"/>
    <w:rsid w:val="001F1828"/>
    <w:rsid w:val="001F4078"/>
    <w:rsid w:val="00225EAD"/>
    <w:rsid w:val="00252E0F"/>
    <w:rsid w:val="00287A55"/>
    <w:rsid w:val="002E2904"/>
    <w:rsid w:val="003746F4"/>
    <w:rsid w:val="00377A38"/>
    <w:rsid w:val="003869A8"/>
    <w:rsid w:val="003C1C66"/>
    <w:rsid w:val="003D0C42"/>
    <w:rsid w:val="003E3B4D"/>
    <w:rsid w:val="00400EBE"/>
    <w:rsid w:val="0042093F"/>
    <w:rsid w:val="00480BDD"/>
    <w:rsid w:val="0048747C"/>
    <w:rsid w:val="004C1056"/>
    <w:rsid w:val="00514331"/>
    <w:rsid w:val="0053265C"/>
    <w:rsid w:val="0054081E"/>
    <w:rsid w:val="005C5365"/>
    <w:rsid w:val="0061183C"/>
    <w:rsid w:val="00630625"/>
    <w:rsid w:val="006A163E"/>
    <w:rsid w:val="00725B40"/>
    <w:rsid w:val="00726351"/>
    <w:rsid w:val="007C10AB"/>
    <w:rsid w:val="007C2884"/>
    <w:rsid w:val="007E416B"/>
    <w:rsid w:val="00855800"/>
    <w:rsid w:val="0085764A"/>
    <w:rsid w:val="00861753"/>
    <w:rsid w:val="008655BE"/>
    <w:rsid w:val="008E37C4"/>
    <w:rsid w:val="008F4853"/>
    <w:rsid w:val="009A0481"/>
    <w:rsid w:val="009E2F23"/>
    <w:rsid w:val="009F1C18"/>
    <w:rsid w:val="00A06270"/>
    <w:rsid w:val="00A06FFA"/>
    <w:rsid w:val="00A4158C"/>
    <w:rsid w:val="00A66290"/>
    <w:rsid w:val="00A66F68"/>
    <w:rsid w:val="00A7749D"/>
    <w:rsid w:val="00A82246"/>
    <w:rsid w:val="00AC3F93"/>
    <w:rsid w:val="00AE6B5E"/>
    <w:rsid w:val="00B62C94"/>
    <w:rsid w:val="00B74846"/>
    <w:rsid w:val="00BB2836"/>
    <w:rsid w:val="00BE0919"/>
    <w:rsid w:val="00BE25F6"/>
    <w:rsid w:val="00C1200D"/>
    <w:rsid w:val="00CA426D"/>
    <w:rsid w:val="00CC14D8"/>
    <w:rsid w:val="00CC5128"/>
    <w:rsid w:val="00CE49C2"/>
    <w:rsid w:val="00CF656A"/>
    <w:rsid w:val="00D27580"/>
    <w:rsid w:val="00D630B0"/>
    <w:rsid w:val="00D93787"/>
    <w:rsid w:val="00DE3240"/>
    <w:rsid w:val="00DE3545"/>
    <w:rsid w:val="00E1586B"/>
    <w:rsid w:val="00EB7ACC"/>
    <w:rsid w:val="00EC4FE1"/>
    <w:rsid w:val="00ED12C5"/>
    <w:rsid w:val="00EE01C8"/>
    <w:rsid w:val="00F07C9C"/>
    <w:rsid w:val="00F57361"/>
    <w:rsid w:val="00F61A81"/>
    <w:rsid w:val="00FC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79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536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536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5365"/>
    <w:rPr>
      <w:rFonts w:cs="Times New Roman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36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365"/>
    <w:rPr>
      <w:rFonts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536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365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C5365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5365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5365"/>
    <w:rPr>
      <w:rFonts w:cs="Times New Roman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5365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5365"/>
    <w:rPr>
      <w:rFonts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C5365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365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3AD7BBF1C204087F8A0A9FEFE37B4" ma:contentTypeVersion="0" ma:contentTypeDescription="Create a new document." ma:contentTypeScope="" ma:versionID="2fcd17caebe8a120984225641ed749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213DE6F-9AC4-46D2-BF2A-93F4B3813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A71CB0-898E-4C82-910E-84C1F30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F90999-3229-4699-8AF0-C3A289D1A8B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2014-12-17T10:59:00Z</cp:lastPrinted>
  <dcterms:created xsi:type="dcterms:W3CDTF">2016-04-19T09:40:00Z</dcterms:created>
  <dcterms:modified xsi:type="dcterms:W3CDTF">2016-04-19T09:40:00Z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0x01010015F3AD7BBF1C204087F8A0A9FEFE37B4</vt:lpwstr>
  </property>
</Properties>
</file>